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8A" w:rsidRDefault="00ED198A" w:rsidP="00ED198A">
      <w:pPr>
        <w:pStyle w:val="align-center"/>
      </w:pPr>
    </w:p>
    <w:p w:rsidR="00ED198A" w:rsidRDefault="00ED198A" w:rsidP="00ED198A">
      <w:pPr>
        <w:pStyle w:val="align-center"/>
      </w:pPr>
      <w:r>
        <w:t xml:space="preserve">Обновление  Информации раскрываемой  ООО «Управляющая Организация «ОзерскСтройЖилСервис» в соответствии с Постановлением Правительства Российской Федерации  от 23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731 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ED198A" w:rsidRPr="00ED198A" w:rsidRDefault="003E1D6C" w:rsidP="00ED19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обновления информации  16</w:t>
      </w:r>
      <w:r w:rsidR="00ED198A" w:rsidRPr="00ED198A">
        <w:rPr>
          <w:rFonts w:ascii="Times New Roman" w:hAnsi="Times New Roman" w:cs="Times New Roman"/>
          <w:sz w:val="24"/>
          <w:szCs w:val="24"/>
          <w:u w:val="single"/>
        </w:rPr>
        <w:t xml:space="preserve"> июля 2013 г.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EA6">
        <w:rPr>
          <w:rFonts w:ascii="Times New Roman" w:hAnsi="Times New Roman" w:cs="Times New Roman"/>
          <w:b/>
          <w:sz w:val="24"/>
          <w:szCs w:val="24"/>
        </w:rPr>
        <w:t>Информации о ценах (тарифах) на коммунальные ресурсы: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Раскрыты следующие  сведения</w:t>
      </w:r>
      <w:proofErr w:type="gramStart"/>
      <w:r w:rsidRPr="005B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 xml:space="preserve">а) перечень коммунальных ресурсов, которые управляющая организация закупает у </w:t>
      </w:r>
      <w:proofErr w:type="spellStart"/>
      <w:r w:rsidRPr="005B6EA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B6EA6">
        <w:rPr>
          <w:rFonts w:ascii="Times New Roman" w:hAnsi="Times New Roman" w:cs="Times New Roman"/>
          <w:sz w:val="24"/>
          <w:szCs w:val="24"/>
        </w:rPr>
        <w:t xml:space="preserve"> организаций, с указанием конкретных поставщиков, а также объема закупаемых ресурсов и цен на такие ресурсы, по которым управляющая организация, закупает их у </w:t>
      </w:r>
      <w:proofErr w:type="spellStart"/>
      <w:r w:rsidRPr="005B6EA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B6EA6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 xml:space="preserve">б) тарифы (цены) для потребителей, установленные для </w:t>
      </w:r>
      <w:proofErr w:type="spellStart"/>
      <w:r w:rsidRPr="005B6EA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B6EA6">
        <w:rPr>
          <w:rFonts w:ascii="Times New Roman" w:hAnsi="Times New Roman" w:cs="Times New Roman"/>
          <w:sz w:val="24"/>
          <w:szCs w:val="24"/>
        </w:rPr>
        <w:t xml:space="preserve"> организаций, у которых управляющая организация закупает коммунальные ресурсы. 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в) тарифы (цены) на коммунальные услуги, которые применяются управляющей организацией для расчета размера платежей для потребителей.</w:t>
      </w:r>
    </w:p>
    <w:p w:rsidR="00ED198A" w:rsidRDefault="00ED198A" w:rsidP="0082607B">
      <w:pPr>
        <w:rPr>
          <w:rFonts w:ascii="Times New Roman" w:hAnsi="Times New Roman" w:cs="Times New Roman"/>
          <w:sz w:val="24"/>
          <w:szCs w:val="24"/>
        </w:rPr>
      </w:pPr>
    </w:p>
    <w:p w:rsidR="0082607B" w:rsidRPr="00ED198A" w:rsidRDefault="0082607B" w:rsidP="0082607B">
      <w:pPr>
        <w:rPr>
          <w:rFonts w:ascii="Times New Roman" w:hAnsi="Times New Roman" w:cs="Times New Roman"/>
          <w:sz w:val="24"/>
          <w:szCs w:val="24"/>
        </w:rPr>
      </w:pPr>
      <w:r w:rsidRPr="00ED198A">
        <w:rPr>
          <w:rFonts w:ascii="Times New Roman" w:hAnsi="Times New Roman" w:cs="Times New Roman"/>
          <w:sz w:val="24"/>
          <w:szCs w:val="24"/>
        </w:rPr>
        <w:t xml:space="preserve">2013 год </w:t>
      </w:r>
    </w:p>
    <w:p w:rsidR="0082607B" w:rsidRDefault="0082607B" w:rsidP="00826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коммунальных ресурсов, которые управляющая организация закупает у </w:t>
      </w:r>
      <w:proofErr w:type="spellStart"/>
      <w:r>
        <w:rPr>
          <w:rFonts w:ascii="Times New Roman" w:hAnsi="Times New Roman" w:cs="Times New Roman"/>
        </w:rPr>
        <w:t>ресурсоснабжающих</w:t>
      </w:r>
      <w:proofErr w:type="spellEnd"/>
      <w:r>
        <w:rPr>
          <w:rFonts w:ascii="Times New Roman" w:hAnsi="Times New Roman" w:cs="Times New Roman"/>
        </w:rPr>
        <w:t xml:space="preserve"> организаций 2013 год </w:t>
      </w: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  <w:gridCol w:w="2393"/>
        <w:gridCol w:w="2393"/>
      </w:tblGrid>
      <w:tr w:rsidR="0082607B" w:rsidTr="0082607B">
        <w:tc>
          <w:tcPr>
            <w:tcW w:w="2392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Цены на ресурсы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Основание для расчета тарифов</w:t>
            </w:r>
          </w:p>
        </w:tc>
      </w:tr>
      <w:tr w:rsidR="0082607B" w:rsidTr="0082607B">
        <w:tc>
          <w:tcPr>
            <w:tcW w:w="2392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Вид ресурса</w:t>
            </w:r>
          </w:p>
        </w:tc>
        <w:tc>
          <w:tcPr>
            <w:tcW w:w="267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10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Закупаемый объем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 xml:space="preserve">с 01.01.2013   </w:t>
            </w:r>
            <w:r w:rsidRPr="00240879">
              <w:rPr>
                <w:rFonts w:ascii="Times New Roman" w:hAnsi="Times New Roman" w:cs="Times New Roman"/>
                <w:b/>
              </w:rPr>
              <w:br/>
              <w:t xml:space="preserve">по 30.06.2013  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 xml:space="preserve">с 01.07.2013   </w:t>
            </w:r>
            <w:r w:rsidRPr="00240879">
              <w:rPr>
                <w:rFonts w:ascii="Times New Roman" w:hAnsi="Times New Roman" w:cs="Times New Roman"/>
                <w:b/>
              </w:rPr>
              <w:br/>
              <w:t xml:space="preserve">по 31.12.2013  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Водоснабжение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8,19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9,11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от 29.11.2012 г. N 49/256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lastRenderedPageBreak/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lastRenderedPageBreak/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9,72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11,63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lastRenderedPageBreak/>
              <w:t>от 29.11.2012 г. N 49/256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lastRenderedPageBreak/>
              <w:t>Горячее водоснабжение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77,55руб./м3</w:t>
            </w:r>
          </w:p>
          <w:p w:rsidR="0082607B" w:rsidRPr="00CD074A" w:rsidRDefault="0082607B" w:rsidP="0082607B">
            <w:pPr>
              <w:pStyle w:val="ConsPlusCell"/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93" w:type="dxa"/>
          </w:tcPr>
          <w:p w:rsidR="0082607B" w:rsidRPr="00CD074A" w:rsidRDefault="00CD074A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84,83</w:t>
            </w:r>
            <w:r w:rsidR="0082607B" w:rsidRPr="00CD074A">
              <w:rPr>
                <w:rFonts w:ascii="Times New Roman" w:hAnsi="Times New Roman" w:cs="Times New Roman"/>
              </w:rPr>
              <w:t xml:space="preserve"> руб./м3</w:t>
            </w:r>
          </w:p>
          <w:p w:rsidR="0082607B" w:rsidRPr="00CD074A" w:rsidRDefault="0082607B" w:rsidP="0082607B">
            <w:pPr>
              <w:pStyle w:val="ConsPlusCell"/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93" w:type="dxa"/>
          </w:tcPr>
          <w:p w:rsidR="00240879" w:rsidRPr="00240879" w:rsidRDefault="00240879" w:rsidP="00240879">
            <w:pPr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240879" w:rsidRPr="00240879" w:rsidRDefault="00240879" w:rsidP="0024087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</w:rPr>
              <w:t>27декабря 2012</w:t>
            </w:r>
            <w:r w:rsidRPr="00240879">
              <w:rPr>
                <w:rFonts w:ascii="Times New Roman" w:hAnsi="Times New Roman" w:cs="Times New Roman"/>
                <w:b w:val="0"/>
              </w:rPr>
              <w:t xml:space="preserve"> г. </w:t>
            </w:r>
          </w:p>
          <w:p w:rsidR="00240879" w:rsidRDefault="00240879" w:rsidP="00240879">
            <w:pPr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57/45</w:t>
            </w:r>
          </w:p>
          <w:p w:rsidR="00240879" w:rsidRDefault="00240879" w:rsidP="0082607B">
            <w:pPr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CD074A" w:rsidRPr="00240879" w:rsidRDefault="0082607B" w:rsidP="00CD074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CD074A" w:rsidRPr="00240879">
              <w:rPr>
                <w:rFonts w:ascii="Times New Roman" w:hAnsi="Times New Roman" w:cs="Times New Roman"/>
                <w:b w:val="0"/>
              </w:rPr>
              <w:t>28 июня 2013</w:t>
            </w:r>
            <w:r w:rsidRPr="00240879">
              <w:rPr>
                <w:rFonts w:ascii="Times New Roman" w:hAnsi="Times New Roman" w:cs="Times New Roman"/>
                <w:b w:val="0"/>
              </w:rPr>
              <w:t xml:space="preserve"> г. </w:t>
            </w:r>
          </w:p>
          <w:p w:rsidR="0082607B" w:rsidRPr="00240879" w:rsidRDefault="0082607B" w:rsidP="00CD074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N</w:t>
            </w:r>
            <w:r w:rsidR="00CD074A" w:rsidRPr="00240879">
              <w:rPr>
                <w:rFonts w:ascii="Times New Roman" w:hAnsi="Times New Roman" w:cs="Times New Roman"/>
                <w:b w:val="0"/>
              </w:rPr>
              <w:t xml:space="preserve"> 21/170</w:t>
            </w: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879,5руб/Гкал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962,17  руб./ Гкал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879">
              <w:rPr>
                <w:rFonts w:ascii="Times New Roman" w:hAnsi="Times New Roman" w:cs="Times New Roman"/>
              </w:rPr>
              <w:t xml:space="preserve">N </w:t>
            </w:r>
            <w:r w:rsidRPr="00240879">
              <w:rPr>
                <w:rFonts w:ascii="Times New Roman" w:eastAsia="Times New Roman" w:hAnsi="Times New Roman" w:cs="Times New Roman"/>
                <w:lang w:eastAsia="ru-RU"/>
              </w:rPr>
              <w:t>42/98 от 30.11.2011г.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Постановление  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№21/191 от 28 июня  2013г. </w:t>
            </w: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D074A">
              <w:rPr>
                <w:rFonts w:ascii="Times New Roman" w:hAnsi="Times New Roman" w:cs="Times New Roman"/>
              </w:rPr>
              <w:t>Челябэнергосбыт</w:t>
            </w:r>
            <w:proofErr w:type="spellEnd"/>
            <w:r w:rsidRPr="00CD07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proofErr w:type="spellStart"/>
            <w:r w:rsidRPr="00CD074A">
              <w:rPr>
                <w:rFonts w:ascii="Times New Roman" w:hAnsi="Times New Roman" w:cs="Times New Roman"/>
              </w:rPr>
              <w:t>Одноставочн</w:t>
            </w:r>
            <w:proofErr w:type="spellEnd"/>
            <w:r w:rsidRPr="00CD074A">
              <w:rPr>
                <w:rFonts w:ascii="Times New Roman" w:hAnsi="Times New Roman" w:cs="Times New Roman"/>
              </w:rPr>
              <w:t>.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2,09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газ.пл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>.)</w:t>
            </w:r>
          </w:p>
          <w:p w:rsidR="00CD074A" w:rsidRPr="00CD074A" w:rsidRDefault="0082607B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1,46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эл.пл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.); </w:t>
            </w: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Тарифы, дифференцированные </w:t>
            </w: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По зонам суток – приложение №1    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proofErr w:type="spellStart"/>
            <w:r w:rsidRPr="00CD074A">
              <w:rPr>
                <w:rFonts w:ascii="Times New Roman" w:hAnsi="Times New Roman" w:cs="Times New Roman"/>
              </w:rPr>
              <w:t>Одноставочн</w:t>
            </w:r>
            <w:proofErr w:type="spellEnd"/>
            <w:r w:rsidRPr="00CD074A">
              <w:rPr>
                <w:rFonts w:ascii="Times New Roman" w:hAnsi="Times New Roman" w:cs="Times New Roman"/>
              </w:rPr>
              <w:t>.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2,41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газ.пл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>.)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1,69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эл.пл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>.)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Тарифы, дифференцированные </w:t>
            </w: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По зонам суток – приложение №1    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 xml:space="preserve">от 19 декабря 2012 г. 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N 54/1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lastRenderedPageBreak/>
              <w:t xml:space="preserve">Газ   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D074A">
              <w:rPr>
                <w:rFonts w:ascii="Times New Roman" w:hAnsi="Times New Roman" w:cs="Times New Roman"/>
              </w:rPr>
              <w:t>НОВАТЭК-Челябинск</w:t>
            </w:r>
            <w:proofErr w:type="spellEnd"/>
            <w:r w:rsidRPr="00CD07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4786" w:type="dxa"/>
            <w:gridSpan w:val="2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4,58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>/м3 (с учетом НДС)</w:t>
            </w:r>
          </w:p>
          <w:p w:rsidR="0082607B" w:rsidRPr="00CD074A" w:rsidRDefault="0082607B" w:rsidP="0082607B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Постановление Государственного комитета "Единый тарифный орган </w:t>
            </w:r>
            <w:proofErr w:type="gramStart"/>
            <w:r w:rsidRPr="00240879">
              <w:rPr>
                <w:rFonts w:ascii="Times New Roman" w:hAnsi="Times New Roman" w:cs="Times New Roman"/>
                <w:b w:val="0"/>
              </w:rPr>
              <w:t>Челябинской</w:t>
            </w:r>
            <w:proofErr w:type="gramEnd"/>
            <w:r w:rsidRPr="00240879">
              <w:rPr>
                <w:rFonts w:ascii="Times New Roman" w:hAnsi="Times New Roman" w:cs="Times New Roman"/>
                <w:b w:val="0"/>
              </w:rPr>
              <w:t xml:space="preserve"> от 26 июня 2012 г. N 19/1</w:t>
            </w:r>
          </w:p>
        </w:tc>
      </w:tr>
    </w:tbl>
    <w:p w:rsidR="0082607B" w:rsidRDefault="0082607B" w:rsidP="0082607B">
      <w:pPr>
        <w:jc w:val="both"/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7B" w:rsidRPr="0070343C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(цены) для потребителей, установленные для </w:t>
      </w:r>
      <w:proofErr w:type="spellStart"/>
      <w:r w:rsidRPr="00703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0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 которых управляющая организация закупает коммунальные ресурсы.</w:t>
      </w:r>
    </w:p>
    <w:p w:rsidR="0082607B" w:rsidRPr="0070343C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7B" w:rsidRPr="007D656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0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2607B" w:rsidRPr="007D656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7"/>
        <w:gridCol w:w="2741"/>
        <w:gridCol w:w="1891"/>
        <w:gridCol w:w="2273"/>
        <w:gridCol w:w="18"/>
        <w:gridCol w:w="1674"/>
        <w:gridCol w:w="1643"/>
        <w:gridCol w:w="1644"/>
      </w:tblGrid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(дата, номер, наименование принявшего акт органа)</w:t>
            </w: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января 2013г.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1июля 2013г.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многоотраслевое предприятие коммунального хозяйства (ММПКХ)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  <w:sz w:val="20"/>
                <w:szCs w:val="20"/>
              </w:rPr>
              <w:t>от 29.11.2012 г. N 49/256</w:t>
            </w:r>
          </w:p>
          <w:p w:rsidR="0082607B" w:rsidRPr="00F8705B" w:rsidRDefault="0082607B" w:rsidP="0082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– население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(руб./м3)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– население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(руб./м3)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многоотраслевое предприятие коммунального хозяйства (ММПКХ)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4C0D8C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4C0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42/98 от 30.11.2011г.</w:t>
            </w:r>
          </w:p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</w:p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Государственного комитета "Единый </w:t>
            </w:r>
            <w:r>
              <w:rPr>
                <w:rFonts w:ascii="Times New Roman" w:hAnsi="Times New Roman" w:cs="Times New Roman"/>
              </w:rPr>
              <w:lastRenderedPageBreak/>
              <w:t>тарифный орган Челябинской области"</w:t>
            </w:r>
          </w:p>
          <w:p w:rsidR="0082607B" w:rsidRPr="007D656B" w:rsidRDefault="0082607B" w:rsidP="0082607B">
            <w:pPr>
              <w:pStyle w:val="ConsPlusTitl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№21/191 от 28 июня  2013г.</w:t>
            </w: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потребителей -  население ОГО, проживающее в жилых домах,  относящихся к жилищному фонду, независимо от форм собственности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  (руб./Гкал)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(с учетом НДС)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01.07.2013 г</w:t>
            </w:r>
            <w:r w:rsidRPr="00240879">
              <w:rPr>
                <w:rFonts w:ascii="Times New Roman" w:hAnsi="Times New Roman" w:cs="Times New Roman"/>
                <w:b/>
              </w:rPr>
              <w:t>.</w:t>
            </w:r>
            <w:r w:rsidR="00240879" w:rsidRPr="00240879">
              <w:rPr>
                <w:rFonts w:ascii="Times New Roman" w:hAnsi="Times New Roman" w:cs="Times New Roman"/>
                <w:b/>
              </w:rPr>
              <w:t xml:space="preserve"> льготный тариф</w:t>
            </w:r>
            <w:r w:rsidR="002408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962,17  руб./ Гкал (с учетом НДС)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многоотраслевое предприятие коммунального хозяйства (ММПКХ)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  <w:sz w:val="20"/>
                <w:szCs w:val="20"/>
              </w:rPr>
              <w:t>от 29.11.2012 г. N 49/256</w:t>
            </w:r>
          </w:p>
          <w:p w:rsidR="0082607B" w:rsidRPr="00F8705B" w:rsidRDefault="0082607B" w:rsidP="0082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– население 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(руб./м3)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1 января 2013г.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– население 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(руб./м3)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1июля 2013г.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многоотраслевое предприятие коммунального хозяйства (ММПКХ)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F8705B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F8705B">
              <w:rPr>
                <w:rFonts w:ascii="Times New Roman" w:hAnsi="Times New Roman" w:cs="Times New Roman"/>
                <w:b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  <w:b/>
                <w:sz w:val="20"/>
                <w:szCs w:val="20"/>
              </w:rPr>
              <w:t>от 27 декабря 2012 г. N 57/45</w:t>
            </w:r>
          </w:p>
          <w:p w:rsidR="00240879" w:rsidRDefault="00240879" w:rsidP="00826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879" w:rsidRPr="00240879" w:rsidRDefault="00240879" w:rsidP="00240879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Постановление Государственного комитета "Единый тарифный орган Челябинской области"</w:t>
            </w:r>
          </w:p>
          <w:p w:rsidR="00240879" w:rsidRPr="00240879" w:rsidRDefault="00240879" w:rsidP="00240879">
            <w:pPr>
              <w:pStyle w:val="ConsPlusTitle"/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 xml:space="preserve">от 28 июня 2013 г. </w:t>
            </w:r>
          </w:p>
          <w:p w:rsidR="00240879" w:rsidRPr="00240879" w:rsidRDefault="00240879" w:rsidP="002408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879">
              <w:rPr>
                <w:rFonts w:ascii="Times New Roman" w:hAnsi="Times New Roman" w:cs="Times New Roman"/>
                <w:b/>
              </w:rPr>
              <w:t>N 21/170</w:t>
            </w:r>
          </w:p>
          <w:p w:rsidR="00240879" w:rsidRPr="007D656B" w:rsidRDefault="00240879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 января 2013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тариф на услуги горячего водоснабжения, для населения Озерского городского округа,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77,55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 (с учетом НДС).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июля 2013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240879" w:rsidRPr="0024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льготный </w:t>
            </w:r>
            <w:r w:rsidRPr="0024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 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горячего водоснабжения, для населения Озерского городского округа, в размере </w:t>
            </w:r>
            <w:r w:rsidR="0024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84,83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 (с учетом НДС).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01.01.2013 по 30.06.201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Открытое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Государственного комитета </w:t>
            </w:r>
            <w:r>
              <w:rPr>
                <w:rFonts w:ascii="Times New Roman" w:hAnsi="Times New Roman" w:cs="Times New Roman"/>
              </w:rPr>
              <w:lastRenderedPageBreak/>
              <w:t>"Единый тарифный орган Челябинской области"</w:t>
            </w:r>
          </w:p>
          <w:p w:rsidR="0082607B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 декабря 2012 г. N 54/1</w:t>
            </w:r>
          </w:p>
          <w:p w:rsidR="0082607B" w:rsidRDefault="0082607B" w:rsidP="0082607B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F26AE6" w:rsidRDefault="0082607B" w:rsidP="008260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AE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Группа потребителей – </w:t>
            </w:r>
            <w:r w:rsidRPr="00F26AE6">
              <w:rPr>
                <w:rFonts w:ascii="Times New Roman" w:hAnsi="Times New Roman" w:cs="Times New Roman"/>
                <w:lang w:eastAsia="en-US"/>
              </w:rPr>
              <w:t xml:space="preserve">население и приравненные к нему категориям потребителей </w:t>
            </w:r>
            <w:r w:rsidR="00F26AE6">
              <w:rPr>
                <w:rFonts w:ascii="Times New Roman" w:hAnsi="Times New Roman" w:cs="Times New Roman"/>
                <w:lang w:eastAsia="en-US"/>
              </w:rPr>
              <w:t>(с</w:t>
            </w:r>
            <w:r w:rsidRPr="00F26AE6">
              <w:rPr>
                <w:rFonts w:ascii="Times New Roman" w:hAnsi="Times New Roman" w:cs="Times New Roman"/>
                <w:lang w:eastAsia="en-US"/>
              </w:rPr>
              <w:t xml:space="preserve"> учетом НДС</w:t>
            </w:r>
            <w:r w:rsidR="00F26AE6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Одноставочн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газ.пл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1,46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эл.пл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.); </w:t>
            </w:r>
          </w:p>
          <w:p w:rsidR="0082607B" w:rsidRDefault="0082607B" w:rsidP="008260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зонам суток  приложение №1</w:t>
            </w:r>
          </w:p>
          <w:p w:rsidR="0082607B" w:rsidRDefault="0082607B" w:rsidP="0082607B">
            <w:pPr>
              <w:pStyle w:val="ConsPlusTitl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36"/>
              <w:gridCol w:w="36"/>
            </w:tblGrid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01.07.2013 по 31.12.2013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 декабря 2012 г. N 54/1</w:t>
            </w:r>
          </w:p>
          <w:p w:rsidR="0082607B" w:rsidRDefault="0082607B" w:rsidP="0082607B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F26AE6" w:rsidRDefault="0082607B" w:rsidP="008260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Группа потребителей – </w:t>
            </w:r>
            <w:r w:rsidRPr="00F26AE6">
              <w:rPr>
                <w:rFonts w:ascii="Times New Roman" w:hAnsi="Times New Roman" w:cs="Times New Roman"/>
                <w:lang w:eastAsia="en-US"/>
              </w:rPr>
              <w:t>население и приравненные к нему категориям потребителей</w:t>
            </w:r>
            <w:proofErr w:type="gramStart"/>
            <w:r w:rsidRPr="00F26AE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F26AE6">
              <w:rPr>
                <w:rFonts w:ascii="Times New Roman" w:hAnsi="Times New Roman" w:cs="Times New Roman"/>
                <w:lang w:eastAsia="en-US"/>
              </w:rPr>
              <w:t xml:space="preserve"> учетом НДС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Одноставочн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26A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2,41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газ.пл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1,69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эл.пл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.); </w:t>
            </w:r>
          </w:p>
          <w:p w:rsidR="0082607B" w:rsidRDefault="0082607B" w:rsidP="008260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зонам суток  приложение №1</w:t>
            </w:r>
          </w:p>
          <w:p w:rsidR="0082607B" w:rsidRDefault="0082607B" w:rsidP="0082607B">
            <w:pPr>
              <w:pStyle w:val="ConsPlusTitl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36"/>
              <w:gridCol w:w="36"/>
            </w:tblGrid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7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 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НОВАТЭК-Челябинск</w:t>
            </w:r>
            <w:proofErr w:type="spell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"Единый тарифный орган </w:t>
            </w:r>
            <w:proofErr w:type="gramStart"/>
            <w:r>
              <w:rPr>
                <w:rFonts w:ascii="Times New Roman" w:hAnsi="Times New Roman" w:cs="Times New Roman"/>
              </w:rPr>
              <w:t>Челябинской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26 июня 2012 г. N 19/1</w:t>
            </w: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8C4946" w:rsidRDefault="0082607B" w:rsidP="0082607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49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4,58 </w:t>
            </w:r>
            <w:proofErr w:type="spellStart"/>
            <w:r w:rsidRPr="008C49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руб</w:t>
            </w:r>
            <w:proofErr w:type="spellEnd"/>
            <w:r w:rsidRPr="008C49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/м3 (с учетом НДС)</w:t>
            </w:r>
          </w:p>
          <w:p w:rsidR="0082607B" w:rsidRDefault="0082607B" w:rsidP="0082607B">
            <w:pPr>
              <w:pStyle w:val="ConsPlusTit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82607B" w:rsidRPr="000E72B0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0E72B0">
        <w:rPr>
          <w:rFonts w:ascii="Calibri" w:hAnsi="Calibri" w:cs="Calibri"/>
          <w:b/>
          <w:u w:val="single"/>
        </w:rPr>
        <w:t xml:space="preserve">Приложение № 1 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ЕТО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54/1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</w:t>
      </w: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на электрическую энергию, поставляемую</w:t>
      </w: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ОАО "</w:t>
      </w:r>
      <w:proofErr w:type="spellStart"/>
      <w:r>
        <w:rPr>
          <w:sz w:val="20"/>
          <w:szCs w:val="20"/>
        </w:rPr>
        <w:t>Челябэнергосбыт</w:t>
      </w:r>
      <w:proofErr w:type="spellEnd"/>
      <w:r>
        <w:rPr>
          <w:sz w:val="20"/>
          <w:szCs w:val="20"/>
        </w:rPr>
        <w:t>" населению и приравненным</w:t>
      </w: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категориям потребителей в 2013 году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40"/>
        <w:gridCol w:w="2040"/>
        <w:gridCol w:w="2040"/>
      </w:tblGrid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(группы потребителей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 разбивкой по ставкам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дифференциацией по зонам суток) 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Тарифы,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30.06.2013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31.12.2013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(с учетом НДС)                            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26AE6"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2,85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1,20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3,06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3,53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1,20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  <w:tr w:rsidR="0082607B" w:rsidTr="0082607B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1,73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2,00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1,73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2,00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(с учетом НДС)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2,85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3,53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</w:tbl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Примечания: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1. </w:t>
      </w:r>
      <w:proofErr w:type="gramStart"/>
      <w:r w:rsidRPr="00AA20F7">
        <w:rPr>
          <w:rFonts w:ascii="Times New Roman" w:hAnsi="Times New Roman" w:cs="Times New Roman"/>
        </w:rPr>
        <w:t xml:space="preserve">К потребителям, приравненным к категории "Население", указанным в </w:t>
      </w:r>
      <w:hyperlink w:anchor="Par103" w:history="1">
        <w:r w:rsidRPr="00AA20F7">
          <w:rPr>
            <w:rFonts w:ascii="Times New Roman" w:hAnsi="Times New Roman" w:cs="Times New Roman"/>
            <w:color w:val="0000FF"/>
          </w:rPr>
          <w:t>пункте 2</w:t>
        </w:r>
      </w:hyperlink>
      <w:r w:rsidRPr="00AA20F7">
        <w:rPr>
          <w:rFonts w:ascii="Times New Roman" w:hAnsi="Times New Roman" w:cs="Times New Roman"/>
        </w:rPr>
        <w:t xml:space="preserve"> настоящего приложения, в соответствии с </w:t>
      </w:r>
      <w:hyperlink r:id="rId5" w:history="1">
        <w:r w:rsidRPr="00AA20F7">
          <w:rPr>
            <w:rFonts w:ascii="Times New Roman" w:hAnsi="Times New Roman" w:cs="Times New Roman"/>
            <w:color w:val="0000FF"/>
          </w:rPr>
          <w:t>приказом</w:t>
        </w:r>
      </w:hyperlink>
      <w:r w:rsidRPr="00AA20F7">
        <w:rPr>
          <w:rFonts w:ascii="Times New Roman" w:hAnsi="Times New Roman" w:cs="Times New Roman"/>
        </w:rPr>
        <w:t xml:space="preserve"> Федеральной службы по тарифам от 31 декабря 2010 года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(в редакции </w:t>
      </w:r>
      <w:hyperlink r:id="rId6" w:history="1">
        <w:r w:rsidRPr="00AA20F7">
          <w:rPr>
            <w:rFonts w:ascii="Times New Roman" w:hAnsi="Times New Roman" w:cs="Times New Roman"/>
            <w:color w:val="0000FF"/>
          </w:rPr>
          <w:t>приказа</w:t>
        </w:r>
      </w:hyperlink>
      <w:r w:rsidRPr="00AA20F7">
        <w:rPr>
          <w:rFonts w:ascii="Times New Roman" w:hAnsi="Times New Roman" w:cs="Times New Roman"/>
        </w:rPr>
        <w:t xml:space="preserve"> ФСТ РФ от 15 июня 2011 года N 139-э/2) относятся:</w:t>
      </w:r>
      <w:proofErr w:type="gramEnd"/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20F7">
        <w:rPr>
          <w:rFonts w:ascii="Times New Roman" w:hAnsi="Times New Roman" w:cs="Times New Roman"/>
        </w:rPr>
        <w:t xml:space="preserve">а)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AA20F7">
        <w:rPr>
          <w:rFonts w:ascii="Times New Roman" w:hAnsi="Times New Roman" w:cs="Times New Roman"/>
        </w:rPr>
        <w:t>наймодатели</w:t>
      </w:r>
      <w:proofErr w:type="spellEnd"/>
      <w:r w:rsidRPr="00AA20F7">
        <w:rPr>
          <w:rFonts w:ascii="Times New Roman" w:hAnsi="Times New Roman" w:cs="Times New Roman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 w:rsidRPr="00AA20F7">
        <w:rPr>
          <w:rFonts w:ascii="Times New Roman" w:hAnsi="Times New Roman" w:cs="Times New Roman"/>
        </w:rPr>
        <w:t xml:space="preserve">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24"/>
      <w:bookmarkEnd w:id="1"/>
      <w:r w:rsidRPr="00AA20F7">
        <w:rPr>
          <w:rFonts w:ascii="Times New Roman" w:hAnsi="Times New Roman" w:cs="Times New Roman"/>
        </w:rPr>
        <w:t>б)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5"/>
      <w:bookmarkEnd w:id="2"/>
      <w:r w:rsidRPr="00AA20F7">
        <w:rPr>
          <w:rFonts w:ascii="Times New Roman" w:hAnsi="Times New Roman" w:cs="Times New Roman"/>
        </w:rPr>
        <w:t>в)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6"/>
      <w:bookmarkEnd w:id="3"/>
      <w:r w:rsidRPr="00AA20F7">
        <w:rPr>
          <w:rFonts w:ascii="Times New Roman" w:hAnsi="Times New Roman" w:cs="Times New Roman"/>
        </w:rPr>
        <w:t>г) юридические и физические лица, в части приобретаемого объема электрической энергии (мощности) в целях потребления на коммунально-</w:t>
      </w:r>
      <w:r w:rsidRPr="00AA20F7">
        <w:rPr>
          <w:rFonts w:ascii="Times New Roman" w:hAnsi="Times New Roman" w:cs="Times New Roman"/>
        </w:rPr>
        <w:lastRenderedPageBreak/>
        <w:t>бытовые нужды в населенных пунктах, жилых зонах при воинских частях, рассчитывающихся по договору энергоснабжения (купли - продажи) по общему счетчику;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7"/>
      <w:bookmarkEnd w:id="4"/>
      <w:proofErr w:type="spellStart"/>
      <w:r w:rsidRPr="00AA20F7">
        <w:rPr>
          <w:rFonts w:ascii="Times New Roman" w:hAnsi="Times New Roman" w:cs="Times New Roman"/>
        </w:rPr>
        <w:t>д</w:t>
      </w:r>
      <w:proofErr w:type="spellEnd"/>
      <w:r w:rsidRPr="00AA20F7">
        <w:rPr>
          <w:rFonts w:ascii="Times New Roman" w:hAnsi="Times New Roman" w:cs="Times New Roman"/>
        </w:rPr>
        <w:t>) содержащиеся за счет прихожан религиозные организации;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8"/>
      <w:bookmarkEnd w:id="5"/>
      <w:proofErr w:type="gramStart"/>
      <w:r w:rsidRPr="00AA20F7">
        <w:rPr>
          <w:rFonts w:ascii="Times New Roman" w:hAnsi="Times New Roman" w:cs="Times New Roman"/>
        </w:rPr>
        <w:t xml:space="preserve">е) гарантирующие поставщики, </w:t>
      </w:r>
      <w:proofErr w:type="spellStart"/>
      <w:r w:rsidRPr="00AA20F7">
        <w:rPr>
          <w:rFonts w:ascii="Times New Roman" w:hAnsi="Times New Roman" w:cs="Times New Roman"/>
        </w:rPr>
        <w:t>энергосбытовые</w:t>
      </w:r>
      <w:proofErr w:type="spellEnd"/>
      <w:r w:rsidRPr="00AA20F7">
        <w:rPr>
          <w:rFonts w:ascii="Times New Roman" w:hAnsi="Times New Roman" w:cs="Times New Roman"/>
        </w:rPr>
        <w:t xml:space="preserve">, </w:t>
      </w:r>
      <w:proofErr w:type="spellStart"/>
      <w:r w:rsidRPr="00AA20F7">
        <w:rPr>
          <w:rFonts w:ascii="Times New Roman" w:hAnsi="Times New Roman" w:cs="Times New Roman"/>
        </w:rPr>
        <w:t>энергоснабжающие</w:t>
      </w:r>
      <w:proofErr w:type="spellEnd"/>
      <w:r w:rsidRPr="00AA20F7">
        <w:rPr>
          <w:rFonts w:ascii="Times New Roman" w:hAnsi="Times New Roman" w:cs="Times New Roman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29"/>
      <w:bookmarkEnd w:id="6"/>
      <w:r w:rsidRPr="00AA20F7">
        <w:rPr>
          <w:rFonts w:ascii="Times New Roman" w:hAnsi="Times New Roman" w:cs="Times New Roman"/>
        </w:rPr>
        <w:t>ж) хозяйственные постройки физических лиц (погреба, сараи и иные сооружения аналогичного назначения);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30"/>
      <w:bookmarkEnd w:id="7"/>
      <w:proofErr w:type="spellStart"/>
      <w:r w:rsidRPr="00AA20F7">
        <w:rPr>
          <w:rFonts w:ascii="Times New Roman" w:hAnsi="Times New Roman" w:cs="Times New Roman"/>
        </w:rPr>
        <w:t>з</w:t>
      </w:r>
      <w:proofErr w:type="spellEnd"/>
      <w:r w:rsidRPr="00AA20F7">
        <w:rPr>
          <w:rFonts w:ascii="Times New Roman" w:hAnsi="Times New Roman" w:cs="Times New Roman"/>
        </w:rPr>
        <w:t>) 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деятельности";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31"/>
      <w:bookmarkEnd w:id="8"/>
      <w:r w:rsidRPr="00AA20F7">
        <w:rPr>
          <w:rFonts w:ascii="Times New Roman" w:hAnsi="Times New Roman" w:cs="Times New Roman"/>
        </w:rPr>
        <w:t xml:space="preserve">2. а) для потребителей, указанных в </w:t>
      </w:r>
      <w:hyperlink w:anchor="Par124" w:history="1">
        <w:r w:rsidRPr="00AA20F7">
          <w:rPr>
            <w:rFonts w:ascii="Times New Roman" w:hAnsi="Times New Roman" w:cs="Times New Roman"/>
            <w:color w:val="0000FF"/>
          </w:rPr>
          <w:t>пунктах 1-а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9" w:history="1">
        <w:r w:rsidRPr="00AA20F7">
          <w:rPr>
            <w:rFonts w:ascii="Times New Roman" w:hAnsi="Times New Roman" w:cs="Times New Roman"/>
            <w:color w:val="0000FF"/>
          </w:rPr>
          <w:t>1-е</w:t>
        </w:r>
      </w:hyperlink>
      <w:r w:rsidRPr="00AA20F7">
        <w:rPr>
          <w:rFonts w:ascii="Times New Roman" w:hAnsi="Times New Roman" w:cs="Times New Roman"/>
        </w:rPr>
        <w:t xml:space="preserve"> примечаний, оплата электрической энергии производится по тарифам группы "Население";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б) для потребителей, указанных в </w:t>
      </w:r>
      <w:hyperlink w:anchor="Par125" w:history="1">
        <w:r w:rsidRPr="00AA20F7">
          <w:rPr>
            <w:rFonts w:ascii="Times New Roman" w:hAnsi="Times New Roman" w:cs="Times New Roman"/>
            <w:color w:val="0000FF"/>
          </w:rPr>
          <w:t>п. 1-б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6" w:history="1">
        <w:r w:rsidRPr="00AA20F7">
          <w:rPr>
            <w:rFonts w:ascii="Times New Roman" w:hAnsi="Times New Roman" w:cs="Times New Roman"/>
            <w:color w:val="0000FF"/>
          </w:rPr>
          <w:t>1-в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7" w:history="1">
        <w:r w:rsidRPr="00AA20F7">
          <w:rPr>
            <w:rFonts w:ascii="Times New Roman" w:hAnsi="Times New Roman" w:cs="Times New Roman"/>
            <w:color w:val="0000FF"/>
          </w:rPr>
          <w:t>1-г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8" w:history="1">
        <w:r w:rsidRPr="00AA20F7">
          <w:rPr>
            <w:rFonts w:ascii="Times New Roman" w:hAnsi="Times New Roman" w:cs="Times New Roman"/>
            <w:color w:val="0000FF"/>
          </w:rPr>
          <w:t>1-д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30" w:history="1">
        <w:r w:rsidRPr="00AA20F7">
          <w:rPr>
            <w:rFonts w:ascii="Times New Roman" w:hAnsi="Times New Roman" w:cs="Times New Roman"/>
            <w:color w:val="0000FF"/>
          </w:rPr>
          <w:t>1-ж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31" w:history="1">
        <w:r w:rsidRPr="00AA20F7">
          <w:rPr>
            <w:rFonts w:ascii="Times New Roman" w:hAnsi="Times New Roman" w:cs="Times New Roman"/>
            <w:color w:val="0000FF"/>
          </w:rPr>
          <w:t>1-з</w:t>
        </w:r>
      </w:hyperlink>
      <w:r w:rsidRPr="00AA20F7">
        <w:rPr>
          <w:rFonts w:ascii="Times New Roman" w:hAnsi="Times New Roman" w:cs="Times New Roman"/>
        </w:rPr>
        <w:t xml:space="preserve"> примечаний, оплата электрической энергии производится по тарифам группы "Потребители, приравненные к населению".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3. Интервалы тарифных зон суток (по месяцам календарного года) устанавливаются Федеральной службой по тарифам России.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4. Если гражданин одновременно имеет право на льготные тарифы и скидки по нескольким основаниям, льгота предоставляется по выбору гражданина по одному из них.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5. Нормативы потребления электроэнергии применяются в соответствии с законодательством Российской Федерации, устанавливающим право на льготу по оплате электроэнергии. Льготы, предусмотренные действующим законодательством, предоставляются гражданам по тарифам для соответствующих групп потребителей.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6. В отопительный период при наличии стационарного </w:t>
      </w:r>
      <w:proofErr w:type="spellStart"/>
      <w:r w:rsidRPr="00AA20F7">
        <w:rPr>
          <w:rFonts w:ascii="Times New Roman" w:hAnsi="Times New Roman" w:cs="Times New Roman"/>
        </w:rPr>
        <w:t>электроотопления</w:t>
      </w:r>
      <w:proofErr w:type="spellEnd"/>
      <w:r w:rsidRPr="00AA20F7">
        <w:rPr>
          <w:rFonts w:ascii="Times New Roman" w:hAnsi="Times New Roman" w:cs="Times New Roman"/>
        </w:rPr>
        <w:t xml:space="preserve"> для льготных категорий граждан нормативом (для целей предоставления льготы либо расчета размера компенсации) считать долю льготника, рассчитанную из фактического потребления электроэнергии и количества лиц, зарегистрированных по данному адресу.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При желании потребителя получать компенсацию на оплату электроэнергии только за бытовое потребление с исключением </w:t>
      </w:r>
      <w:proofErr w:type="spellStart"/>
      <w:r w:rsidRPr="00AA20F7">
        <w:rPr>
          <w:rFonts w:ascii="Times New Roman" w:hAnsi="Times New Roman" w:cs="Times New Roman"/>
        </w:rPr>
        <w:t>электроотопления</w:t>
      </w:r>
      <w:proofErr w:type="spellEnd"/>
      <w:r w:rsidRPr="00AA20F7">
        <w:rPr>
          <w:rFonts w:ascii="Times New Roman" w:hAnsi="Times New Roman" w:cs="Times New Roman"/>
        </w:rPr>
        <w:t xml:space="preserve"> при наличии одного прибора учета (в случае замены </w:t>
      </w:r>
      <w:proofErr w:type="spellStart"/>
      <w:r w:rsidRPr="00AA20F7">
        <w:rPr>
          <w:rFonts w:ascii="Times New Roman" w:hAnsi="Times New Roman" w:cs="Times New Roman"/>
        </w:rPr>
        <w:t>электрообогрева</w:t>
      </w:r>
      <w:proofErr w:type="spellEnd"/>
      <w:r w:rsidRPr="00AA20F7">
        <w:rPr>
          <w:rFonts w:ascii="Times New Roman" w:hAnsi="Times New Roman" w:cs="Times New Roman"/>
        </w:rPr>
        <w:t xml:space="preserve"> на обогрев твердым топливом) рекомендуется установить отдельный прибор учета электроэнергии на </w:t>
      </w:r>
      <w:proofErr w:type="spellStart"/>
      <w:r w:rsidRPr="00AA20F7">
        <w:rPr>
          <w:rFonts w:ascii="Times New Roman" w:hAnsi="Times New Roman" w:cs="Times New Roman"/>
        </w:rPr>
        <w:t>электрообогрев</w:t>
      </w:r>
      <w:proofErr w:type="spellEnd"/>
      <w:r w:rsidRPr="00AA20F7">
        <w:rPr>
          <w:rFonts w:ascii="Times New Roman" w:hAnsi="Times New Roman" w:cs="Times New Roman"/>
        </w:rPr>
        <w:t>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Pr="00AA20F7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AA20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арифы (цены) на коммунальные услуги, которые применяются управляющей организацией для расчета размера платежей для потребителей</w:t>
      </w:r>
    </w:p>
    <w:p w:rsidR="002A07C2" w:rsidRPr="0060012F" w:rsidRDefault="002A07C2" w:rsidP="002A0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3794"/>
        <w:gridCol w:w="1276"/>
        <w:gridCol w:w="2693"/>
        <w:gridCol w:w="2268"/>
        <w:gridCol w:w="5103"/>
      </w:tblGrid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gridSpan w:val="3"/>
          </w:tcPr>
          <w:p w:rsidR="00EB6128" w:rsidRPr="00EB6128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01.01.2013г.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01.07.2013г.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 руб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 руб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 руб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31,41руб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A111EC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 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34,36 руб. </w:t>
            </w:r>
          </w:p>
          <w:p w:rsidR="00EB6128" w:rsidRPr="00EB6128" w:rsidRDefault="00A111EC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34,36 руб. 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B6128" w:rsidRPr="00EB6128" w:rsidRDefault="00A111EC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№ 42/98 от 30.11.2011г.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№21/191 от 28.06.2013г. 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(чел.)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 (67,26)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(74,82)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№49/256 от 29.11.2012г.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(чел.)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 (118,26)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 (141,50)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№49/256 от 29.11.2012г.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(чел.)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77,55 (306,65) руб.</w:t>
            </w:r>
          </w:p>
        </w:tc>
        <w:tc>
          <w:tcPr>
            <w:tcW w:w="2268" w:type="dxa"/>
          </w:tcPr>
          <w:p w:rsidR="00EB6128" w:rsidRPr="00EB6128" w:rsidRDefault="00A111EC" w:rsidP="00A11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84,83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3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335,43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руб.</w:t>
            </w:r>
          </w:p>
        </w:tc>
        <w:tc>
          <w:tcPr>
            <w:tcW w:w="5103" w:type="dxa"/>
          </w:tcPr>
          <w:p w:rsid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57/45 от 27.12.2012г.</w:t>
            </w:r>
          </w:p>
          <w:p w:rsidR="00F26AE6" w:rsidRPr="00F26AE6" w:rsidRDefault="00F26AE6" w:rsidP="00F26AE6">
            <w:pPr>
              <w:rPr>
                <w:rFonts w:ascii="Times New Roman" w:hAnsi="Times New Roman" w:cs="Times New Roman"/>
              </w:rPr>
            </w:pPr>
            <w:r w:rsidRPr="00F26AE6">
              <w:rPr>
                <w:rFonts w:ascii="Times New Roman" w:hAnsi="Times New Roman" w:cs="Times New Roman"/>
              </w:rPr>
              <w:t xml:space="preserve">ЕТО </w:t>
            </w:r>
            <w:proofErr w:type="spellStart"/>
            <w:r w:rsidRPr="00F26AE6">
              <w:rPr>
                <w:rFonts w:ascii="Times New Roman" w:hAnsi="Times New Roman" w:cs="Times New Roman"/>
              </w:rPr>
              <w:t>Челяб</w:t>
            </w:r>
            <w:proofErr w:type="gramStart"/>
            <w:r w:rsidRPr="00F26AE6">
              <w:rPr>
                <w:rFonts w:ascii="Times New Roman" w:hAnsi="Times New Roman" w:cs="Times New Roman"/>
              </w:rPr>
              <w:t>.о</w:t>
            </w:r>
            <w:proofErr w:type="gramEnd"/>
            <w:r w:rsidRPr="00F26AE6">
              <w:rPr>
                <w:rFonts w:ascii="Times New Roman" w:hAnsi="Times New Roman" w:cs="Times New Roman"/>
              </w:rPr>
              <w:t>бл</w:t>
            </w:r>
            <w:proofErr w:type="spellEnd"/>
            <w:r w:rsidRPr="00F26A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F26AE6">
              <w:rPr>
                <w:rFonts w:ascii="Times New Roman" w:hAnsi="Times New Roman" w:cs="Times New Roman"/>
              </w:rPr>
              <w:t xml:space="preserve"> 21/170 от 28 </w:t>
            </w:r>
            <w:r>
              <w:rPr>
                <w:rFonts w:ascii="Times New Roman" w:hAnsi="Times New Roman" w:cs="Times New Roman"/>
              </w:rPr>
              <w:t>.06.</w:t>
            </w:r>
            <w:r w:rsidRPr="00F26AE6">
              <w:rPr>
                <w:rFonts w:ascii="Times New Roman" w:hAnsi="Times New Roman" w:cs="Times New Roman"/>
              </w:rPr>
              <w:t xml:space="preserve">2013 г. </w:t>
            </w:r>
          </w:p>
          <w:p w:rsidR="00F26AE6" w:rsidRPr="00EB6128" w:rsidRDefault="00F26AE6" w:rsidP="00F2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газ.пл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2,09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2,41руб.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2,85руб.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1,20руб.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1,38руб.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 руб.</w:t>
            </w:r>
            <w:r w:rsidR="004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511 от 24.02.2012г.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</w:rPr>
              <w:t>№ 4170 от 26 ноября 2010 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жилое помещение (с лифтом)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5103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1553 от 30.05.2012г.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жилое помещение (без лифта)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 руб.</w:t>
            </w:r>
          </w:p>
        </w:tc>
        <w:tc>
          <w:tcPr>
            <w:tcW w:w="5103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1553 от 30.05.2012г.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1,46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1,73руб.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2,00руб.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0,84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0,97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руб.</w:t>
            </w:r>
          </w:p>
        </w:tc>
        <w:tc>
          <w:tcPr>
            <w:tcW w:w="5103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511 от 24.02.2012г.</w:t>
            </w:r>
          </w:p>
        </w:tc>
      </w:tr>
      <w:tr w:rsidR="00EB6128" w:rsidRPr="00EB6128" w:rsidTr="00EB6128">
        <w:tc>
          <w:tcPr>
            <w:tcW w:w="3794" w:type="dxa"/>
            <w:vAlign w:val="center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1276" w:type="dxa"/>
            <w:vAlign w:val="center"/>
          </w:tcPr>
          <w:p w:rsidR="00EB6128" w:rsidRPr="00EB6128" w:rsidRDefault="00EB6128" w:rsidP="0082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</w:rPr>
              <w:t>4,58 руб. (54,96)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 Челябинской области  от 26 июня 2012 г. N 19/1</w:t>
            </w:r>
          </w:p>
        </w:tc>
      </w:tr>
      <w:tr w:rsidR="0082607B" w:rsidRPr="00EB6128" w:rsidTr="0082607B">
        <w:tc>
          <w:tcPr>
            <w:tcW w:w="3794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 руб.</w:t>
            </w:r>
          </w:p>
        </w:tc>
        <w:tc>
          <w:tcPr>
            <w:tcW w:w="2268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руб.</w:t>
            </w:r>
          </w:p>
        </w:tc>
        <w:tc>
          <w:tcPr>
            <w:tcW w:w="510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511 от 24.02.2012г.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</w:rPr>
              <w:t>№ 4170 от 26 ноября 2010 г.</w:t>
            </w:r>
          </w:p>
        </w:tc>
      </w:tr>
      <w:tr w:rsidR="0082607B" w:rsidRPr="00EB6128" w:rsidTr="0082607B">
        <w:tc>
          <w:tcPr>
            <w:tcW w:w="3794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жилое помещение (с лифтом)</w:t>
            </w:r>
          </w:p>
        </w:tc>
        <w:tc>
          <w:tcPr>
            <w:tcW w:w="1276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2268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510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1553 от 30.05.2012г.</w:t>
            </w:r>
          </w:p>
        </w:tc>
      </w:tr>
      <w:tr w:rsidR="0082607B" w:rsidRPr="00EB6128" w:rsidTr="0082607B">
        <w:tc>
          <w:tcPr>
            <w:tcW w:w="3794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жилое помещение (без лифта)</w:t>
            </w:r>
          </w:p>
        </w:tc>
        <w:tc>
          <w:tcPr>
            <w:tcW w:w="1276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 руб.</w:t>
            </w:r>
          </w:p>
        </w:tc>
        <w:tc>
          <w:tcPr>
            <w:tcW w:w="2268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 руб.</w:t>
            </w:r>
          </w:p>
        </w:tc>
        <w:tc>
          <w:tcPr>
            <w:tcW w:w="510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1553 от 30.05.2012г.</w:t>
            </w:r>
          </w:p>
        </w:tc>
      </w:tr>
    </w:tbl>
    <w:p w:rsidR="0082607B" w:rsidRPr="00AA20F7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*С учетом положений договора управления </w:t>
      </w:r>
    </w:p>
    <w:p w:rsidR="0082607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2607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том числе составляющие платы за жилое помещение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440"/>
        <w:gridCol w:w="1200"/>
        <w:gridCol w:w="1200"/>
        <w:gridCol w:w="1200"/>
        <w:gridCol w:w="1200"/>
        <w:gridCol w:w="1200"/>
        <w:gridCol w:w="1200"/>
      </w:tblGrid>
      <w:tr w:rsidR="0082607B" w:rsidRPr="0060012F" w:rsidTr="0082607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Типы жилых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домов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с 01.01.2012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с 01.07.2012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с 01.09.2012   </w:t>
            </w:r>
          </w:p>
        </w:tc>
      </w:tr>
      <w:tr w:rsidR="0082607B" w:rsidRPr="0060012F" w:rsidTr="0082607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электр</w:t>
            </w:r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газовыми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электр</w:t>
            </w:r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газовыми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электр</w:t>
            </w:r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газовыми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</w:tr>
      <w:tr w:rsidR="0082607B" w:rsidRPr="0060012F" w:rsidTr="0082607B">
        <w:trPr>
          <w:trHeight w:val="400"/>
          <w:tblCellSpacing w:w="5" w:type="nil"/>
        </w:trPr>
        <w:tc>
          <w:tcPr>
            <w:tcW w:w="11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Плата за жилое помещение                       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(с учетом налогов, предусмотренных действующим законодательством)          </w:t>
            </w:r>
          </w:p>
        </w:tc>
      </w:tr>
      <w:tr w:rsidR="0082607B" w:rsidRPr="0060012F" w:rsidTr="0082607B">
        <w:trPr>
          <w:tblCellSpacing w:w="5" w:type="nil"/>
        </w:trPr>
        <w:tc>
          <w:tcPr>
            <w:tcW w:w="11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                        город Озерск, поселок </w:t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Метлино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82607B" w:rsidRPr="0060012F" w:rsidTr="0082607B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Жилые дома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(крупноблочные,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панельные,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кирпичные -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встроенные,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кирпичные), с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 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освещение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общего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С лифтом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12,38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12,38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13,12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13,12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13,74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13,74  </w:t>
            </w:r>
          </w:p>
        </w:tc>
      </w:tr>
      <w:tr w:rsidR="0082607B" w:rsidRPr="0060012F" w:rsidTr="0082607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 том числе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составляющие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за жилое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помещение: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Содержание и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без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учета затрат на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капитальный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7,97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8,98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8,71  </w:t>
            </w: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Техническое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обслуживание и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лифтов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3,22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3,22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3,41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3,41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3,51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3,51  </w:t>
            </w: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Обслуживание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внутридомового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газового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0,27  </w:t>
            </w:r>
          </w:p>
        </w:tc>
      </w:tr>
      <w:tr w:rsidR="0082607B" w:rsidRPr="0060012F" w:rsidTr="0082607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Вывоз твердых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бытовых отходов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7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8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Без лифта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9,16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9,16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9,71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9,71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10,23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10,23  </w:t>
            </w:r>
          </w:p>
        </w:tc>
      </w:tr>
      <w:tr w:rsidR="0082607B" w:rsidRPr="0060012F" w:rsidTr="0082607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 том числе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составляющие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за жилое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помещение: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Содержание и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без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учета затрат на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капитальный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7,97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8,98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8,71  </w:t>
            </w: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Обслуживание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внутридомового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газового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0,27  </w:t>
            </w:r>
          </w:p>
        </w:tc>
      </w:tr>
      <w:tr w:rsidR="0082607B" w:rsidRPr="0060012F" w:rsidTr="0082607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Вывоз твердых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бытовых отходов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9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10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82607B" w:rsidRDefault="0082607B" w:rsidP="0082607B">
      <w:r>
        <w:t xml:space="preserve">Генеральный  директор ООО «УО « ОСЖС»                                                                                                                      Захаров  В.М.  </w:t>
      </w:r>
    </w:p>
    <w:p w:rsidR="00F26AE6" w:rsidRDefault="00F26AE6">
      <w:pPr>
        <w:rPr>
          <w:rFonts w:ascii="Times New Roman" w:hAnsi="Times New Roman" w:cs="Times New Roman"/>
          <w:sz w:val="24"/>
          <w:szCs w:val="24"/>
        </w:rPr>
      </w:pPr>
    </w:p>
    <w:p w:rsidR="00A111EC" w:rsidRDefault="00A111EC">
      <w:pPr>
        <w:rPr>
          <w:rFonts w:ascii="Times New Roman" w:hAnsi="Times New Roman" w:cs="Times New Roman"/>
          <w:sz w:val="24"/>
          <w:szCs w:val="24"/>
        </w:rPr>
      </w:pPr>
    </w:p>
    <w:sectPr w:rsidR="00A111EC" w:rsidSect="0082607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7C2"/>
    <w:rsid w:val="00002884"/>
    <w:rsid w:val="000045FB"/>
    <w:rsid w:val="00005DD4"/>
    <w:rsid w:val="0000734C"/>
    <w:rsid w:val="00010098"/>
    <w:rsid w:val="000104CC"/>
    <w:rsid w:val="00011354"/>
    <w:rsid w:val="00012301"/>
    <w:rsid w:val="000129F3"/>
    <w:rsid w:val="00012B0E"/>
    <w:rsid w:val="000131F3"/>
    <w:rsid w:val="00013B7C"/>
    <w:rsid w:val="000156BB"/>
    <w:rsid w:val="00016190"/>
    <w:rsid w:val="0001653F"/>
    <w:rsid w:val="000174E6"/>
    <w:rsid w:val="00017B04"/>
    <w:rsid w:val="000202E0"/>
    <w:rsid w:val="00022B32"/>
    <w:rsid w:val="0002628E"/>
    <w:rsid w:val="00030775"/>
    <w:rsid w:val="000307AA"/>
    <w:rsid w:val="00031068"/>
    <w:rsid w:val="000319E7"/>
    <w:rsid w:val="000342F7"/>
    <w:rsid w:val="000357F1"/>
    <w:rsid w:val="00035E2C"/>
    <w:rsid w:val="000370E5"/>
    <w:rsid w:val="00037AAF"/>
    <w:rsid w:val="0004095C"/>
    <w:rsid w:val="00041B8A"/>
    <w:rsid w:val="0004550F"/>
    <w:rsid w:val="00046895"/>
    <w:rsid w:val="000476A9"/>
    <w:rsid w:val="00050A0C"/>
    <w:rsid w:val="0005156A"/>
    <w:rsid w:val="000534D9"/>
    <w:rsid w:val="00055EAC"/>
    <w:rsid w:val="000569C2"/>
    <w:rsid w:val="00064039"/>
    <w:rsid w:val="00065435"/>
    <w:rsid w:val="00065453"/>
    <w:rsid w:val="00066D6A"/>
    <w:rsid w:val="00067096"/>
    <w:rsid w:val="000676DA"/>
    <w:rsid w:val="00067851"/>
    <w:rsid w:val="000678AC"/>
    <w:rsid w:val="00070D47"/>
    <w:rsid w:val="00072135"/>
    <w:rsid w:val="000724D4"/>
    <w:rsid w:val="000748AC"/>
    <w:rsid w:val="00076CE6"/>
    <w:rsid w:val="00076D07"/>
    <w:rsid w:val="00076D50"/>
    <w:rsid w:val="00076DEB"/>
    <w:rsid w:val="00077283"/>
    <w:rsid w:val="00080668"/>
    <w:rsid w:val="00082410"/>
    <w:rsid w:val="0008380F"/>
    <w:rsid w:val="00084C3C"/>
    <w:rsid w:val="00086881"/>
    <w:rsid w:val="00090ADE"/>
    <w:rsid w:val="00091DE8"/>
    <w:rsid w:val="00094220"/>
    <w:rsid w:val="00094354"/>
    <w:rsid w:val="00094FFC"/>
    <w:rsid w:val="0009554C"/>
    <w:rsid w:val="00096004"/>
    <w:rsid w:val="000961D5"/>
    <w:rsid w:val="00097BEF"/>
    <w:rsid w:val="000A25EA"/>
    <w:rsid w:val="000A423F"/>
    <w:rsid w:val="000A4A4F"/>
    <w:rsid w:val="000A6079"/>
    <w:rsid w:val="000A7979"/>
    <w:rsid w:val="000A79E4"/>
    <w:rsid w:val="000B3929"/>
    <w:rsid w:val="000B4C84"/>
    <w:rsid w:val="000B50C3"/>
    <w:rsid w:val="000B58D4"/>
    <w:rsid w:val="000B6BB1"/>
    <w:rsid w:val="000C24A1"/>
    <w:rsid w:val="000C3B17"/>
    <w:rsid w:val="000C526B"/>
    <w:rsid w:val="000C7385"/>
    <w:rsid w:val="000C7525"/>
    <w:rsid w:val="000C7E22"/>
    <w:rsid w:val="000D03F8"/>
    <w:rsid w:val="000D4748"/>
    <w:rsid w:val="000D7D8C"/>
    <w:rsid w:val="000D7E24"/>
    <w:rsid w:val="000E2F34"/>
    <w:rsid w:val="000E3CB3"/>
    <w:rsid w:val="000E4F46"/>
    <w:rsid w:val="000E6E4D"/>
    <w:rsid w:val="000E7BC6"/>
    <w:rsid w:val="000F070D"/>
    <w:rsid w:val="000F12C1"/>
    <w:rsid w:val="000F161B"/>
    <w:rsid w:val="000F2830"/>
    <w:rsid w:val="000F2AE6"/>
    <w:rsid w:val="00103D95"/>
    <w:rsid w:val="00104180"/>
    <w:rsid w:val="00104DCB"/>
    <w:rsid w:val="001066C3"/>
    <w:rsid w:val="00106852"/>
    <w:rsid w:val="001069BD"/>
    <w:rsid w:val="00107339"/>
    <w:rsid w:val="00110559"/>
    <w:rsid w:val="00114709"/>
    <w:rsid w:val="001153E8"/>
    <w:rsid w:val="00115F3A"/>
    <w:rsid w:val="00116EB7"/>
    <w:rsid w:val="001226EC"/>
    <w:rsid w:val="00125EBD"/>
    <w:rsid w:val="00130190"/>
    <w:rsid w:val="001312F5"/>
    <w:rsid w:val="00134E51"/>
    <w:rsid w:val="00135D64"/>
    <w:rsid w:val="00136B28"/>
    <w:rsid w:val="00136CA3"/>
    <w:rsid w:val="00140857"/>
    <w:rsid w:val="00140B5E"/>
    <w:rsid w:val="00141BA1"/>
    <w:rsid w:val="00142526"/>
    <w:rsid w:val="0015345F"/>
    <w:rsid w:val="00154939"/>
    <w:rsid w:val="0015559B"/>
    <w:rsid w:val="00155938"/>
    <w:rsid w:val="00156E45"/>
    <w:rsid w:val="00157B66"/>
    <w:rsid w:val="001620BF"/>
    <w:rsid w:val="001661CC"/>
    <w:rsid w:val="00170552"/>
    <w:rsid w:val="0017137B"/>
    <w:rsid w:val="00174E23"/>
    <w:rsid w:val="001762F6"/>
    <w:rsid w:val="00176720"/>
    <w:rsid w:val="00180052"/>
    <w:rsid w:val="001806BB"/>
    <w:rsid w:val="00181448"/>
    <w:rsid w:val="00181464"/>
    <w:rsid w:val="0018255A"/>
    <w:rsid w:val="0018284D"/>
    <w:rsid w:val="00185ADF"/>
    <w:rsid w:val="00186174"/>
    <w:rsid w:val="0018776C"/>
    <w:rsid w:val="00191AED"/>
    <w:rsid w:val="001923C6"/>
    <w:rsid w:val="00192CA8"/>
    <w:rsid w:val="00192E87"/>
    <w:rsid w:val="00193999"/>
    <w:rsid w:val="00195CDC"/>
    <w:rsid w:val="001A269F"/>
    <w:rsid w:val="001A3C43"/>
    <w:rsid w:val="001A4439"/>
    <w:rsid w:val="001A565A"/>
    <w:rsid w:val="001A6C8A"/>
    <w:rsid w:val="001A7752"/>
    <w:rsid w:val="001B0801"/>
    <w:rsid w:val="001B0FD7"/>
    <w:rsid w:val="001B1AD0"/>
    <w:rsid w:val="001B31A8"/>
    <w:rsid w:val="001B44A2"/>
    <w:rsid w:val="001B7A3F"/>
    <w:rsid w:val="001C2CEF"/>
    <w:rsid w:val="001C3081"/>
    <w:rsid w:val="001C6AC0"/>
    <w:rsid w:val="001C7071"/>
    <w:rsid w:val="001C750D"/>
    <w:rsid w:val="001C79F8"/>
    <w:rsid w:val="001D0B30"/>
    <w:rsid w:val="001D124A"/>
    <w:rsid w:val="001D1721"/>
    <w:rsid w:val="001D1F37"/>
    <w:rsid w:val="001D25A4"/>
    <w:rsid w:val="001D2DB0"/>
    <w:rsid w:val="001D4510"/>
    <w:rsid w:val="001D6372"/>
    <w:rsid w:val="001D7B64"/>
    <w:rsid w:val="001E0664"/>
    <w:rsid w:val="001E1E51"/>
    <w:rsid w:val="001E6952"/>
    <w:rsid w:val="001E71D1"/>
    <w:rsid w:val="001E79E8"/>
    <w:rsid w:val="001F3D4B"/>
    <w:rsid w:val="001F40AA"/>
    <w:rsid w:val="001F5A5C"/>
    <w:rsid w:val="001F7C22"/>
    <w:rsid w:val="00200BA5"/>
    <w:rsid w:val="002011E7"/>
    <w:rsid w:val="00201AE1"/>
    <w:rsid w:val="00201B7B"/>
    <w:rsid w:val="00201F6B"/>
    <w:rsid w:val="00204470"/>
    <w:rsid w:val="0020479B"/>
    <w:rsid w:val="00204D12"/>
    <w:rsid w:val="002053DE"/>
    <w:rsid w:val="00205DA0"/>
    <w:rsid w:val="0020670C"/>
    <w:rsid w:val="00206B62"/>
    <w:rsid w:val="002100F7"/>
    <w:rsid w:val="00210626"/>
    <w:rsid w:val="00210A24"/>
    <w:rsid w:val="00212ECB"/>
    <w:rsid w:val="00213CED"/>
    <w:rsid w:val="0021563C"/>
    <w:rsid w:val="00215D82"/>
    <w:rsid w:val="00217BB9"/>
    <w:rsid w:val="0022047F"/>
    <w:rsid w:val="00220E56"/>
    <w:rsid w:val="002231C6"/>
    <w:rsid w:val="002242C5"/>
    <w:rsid w:val="00224A84"/>
    <w:rsid w:val="002267E4"/>
    <w:rsid w:val="002271B7"/>
    <w:rsid w:val="00227BF6"/>
    <w:rsid w:val="00230716"/>
    <w:rsid w:val="00230FCD"/>
    <w:rsid w:val="002313EB"/>
    <w:rsid w:val="00232627"/>
    <w:rsid w:val="00240879"/>
    <w:rsid w:val="00240DFC"/>
    <w:rsid w:val="00241C60"/>
    <w:rsid w:val="00242309"/>
    <w:rsid w:val="002436EB"/>
    <w:rsid w:val="00243725"/>
    <w:rsid w:val="0024661F"/>
    <w:rsid w:val="002514E0"/>
    <w:rsid w:val="0025348E"/>
    <w:rsid w:val="00253CC0"/>
    <w:rsid w:val="00254376"/>
    <w:rsid w:val="00254864"/>
    <w:rsid w:val="00256F1F"/>
    <w:rsid w:val="002578B9"/>
    <w:rsid w:val="00260624"/>
    <w:rsid w:val="00261A93"/>
    <w:rsid w:val="0026211B"/>
    <w:rsid w:val="00264CBB"/>
    <w:rsid w:val="002663E4"/>
    <w:rsid w:val="002718C4"/>
    <w:rsid w:val="00272A39"/>
    <w:rsid w:val="00272BA2"/>
    <w:rsid w:val="0027372C"/>
    <w:rsid w:val="00274C35"/>
    <w:rsid w:val="00274D2A"/>
    <w:rsid w:val="00275A1B"/>
    <w:rsid w:val="00275F8C"/>
    <w:rsid w:val="00280B28"/>
    <w:rsid w:val="00282A90"/>
    <w:rsid w:val="0028559F"/>
    <w:rsid w:val="00286026"/>
    <w:rsid w:val="002863DA"/>
    <w:rsid w:val="0029035E"/>
    <w:rsid w:val="002912E6"/>
    <w:rsid w:val="00291D9A"/>
    <w:rsid w:val="00292D93"/>
    <w:rsid w:val="002931E0"/>
    <w:rsid w:val="0029377C"/>
    <w:rsid w:val="00293F18"/>
    <w:rsid w:val="002941FE"/>
    <w:rsid w:val="002958CD"/>
    <w:rsid w:val="00296890"/>
    <w:rsid w:val="002971A9"/>
    <w:rsid w:val="00297F0D"/>
    <w:rsid w:val="002A007A"/>
    <w:rsid w:val="002A07C2"/>
    <w:rsid w:val="002A351D"/>
    <w:rsid w:val="002A4D1B"/>
    <w:rsid w:val="002A4F7F"/>
    <w:rsid w:val="002A6722"/>
    <w:rsid w:val="002A7AB9"/>
    <w:rsid w:val="002A7DBA"/>
    <w:rsid w:val="002B0965"/>
    <w:rsid w:val="002B3B90"/>
    <w:rsid w:val="002B62D6"/>
    <w:rsid w:val="002B6645"/>
    <w:rsid w:val="002B6CEC"/>
    <w:rsid w:val="002B7115"/>
    <w:rsid w:val="002B7715"/>
    <w:rsid w:val="002C1077"/>
    <w:rsid w:val="002C2543"/>
    <w:rsid w:val="002C2A26"/>
    <w:rsid w:val="002C2BE1"/>
    <w:rsid w:val="002C2D92"/>
    <w:rsid w:val="002C2DE8"/>
    <w:rsid w:val="002C3850"/>
    <w:rsid w:val="002C4301"/>
    <w:rsid w:val="002C45B6"/>
    <w:rsid w:val="002C59C4"/>
    <w:rsid w:val="002C5B23"/>
    <w:rsid w:val="002C5DD4"/>
    <w:rsid w:val="002C69E0"/>
    <w:rsid w:val="002C7161"/>
    <w:rsid w:val="002C7BA8"/>
    <w:rsid w:val="002D193B"/>
    <w:rsid w:val="002D39D7"/>
    <w:rsid w:val="002D660A"/>
    <w:rsid w:val="002D7A4B"/>
    <w:rsid w:val="002D7C1F"/>
    <w:rsid w:val="002E176B"/>
    <w:rsid w:val="002E21BE"/>
    <w:rsid w:val="002E21FC"/>
    <w:rsid w:val="002E3274"/>
    <w:rsid w:val="002E35CD"/>
    <w:rsid w:val="002E5E5D"/>
    <w:rsid w:val="002E69F1"/>
    <w:rsid w:val="002F0185"/>
    <w:rsid w:val="002F1205"/>
    <w:rsid w:val="002F41DC"/>
    <w:rsid w:val="002F4B11"/>
    <w:rsid w:val="002F4C57"/>
    <w:rsid w:val="002F4C7F"/>
    <w:rsid w:val="002F5B03"/>
    <w:rsid w:val="002F6317"/>
    <w:rsid w:val="002F6489"/>
    <w:rsid w:val="0030040F"/>
    <w:rsid w:val="00303553"/>
    <w:rsid w:val="003036A8"/>
    <w:rsid w:val="0030385E"/>
    <w:rsid w:val="0030481A"/>
    <w:rsid w:val="00305777"/>
    <w:rsid w:val="00305989"/>
    <w:rsid w:val="0031098D"/>
    <w:rsid w:val="0031192E"/>
    <w:rsid w:val="00311AC1"/>
    <w:rsid w:val="00312E44"/>
    <w:rsid w:val="00313BB2"/>
    <w:rsid w:val="00313D5E"/>
    <w:rsid w:val="0031480D"/>
    <w:rsid w:val="00315E89"/>
    <w:rsid w:val="0031658F"/>
    <w:rsid w:val="003166BD"/>
    <w:rsid w:val="003170C4"/>
    <w:rsid w:val="003172F6"/>
    <w:rsid w:val="003205AC"/>
    <w:rsid w:val="00320C03"/>
    <w:rsid w:val="00320CEA"/>
    <w:rsid w:val="00320F20"/>
    <w:rsid w:val="003217FF"/>
    <w:rsid w:val="003257A7"/>
    <w:rsid w:val="00325E9D"/>
    <w:rsid w:val="00326E1C"/>
    <w:rsid w:val="00327533"/>
    <w:rsid w:val="00327AE7"/>
    <w:rsid w:val="00327CF1"/>
    <w:rsid w:val="003302AD"/>
    <w:rsid w:val="003302B7"/>
    <w:rsid w:val="00332024"/>
    <w:rsid w:val="0033444D"/>
    <w:rsid w:val="00334F15"/>
    <w:rsid w:val="0033533E"/>
    <w:rsid w:val="003363A9"/>
    <w:rsid w:val="00341C9A"/>
    <w:rsid w:val="00341DE4"/>
    <w:rsid w:val="00342689"/>
    <w:rsid w:val="003449B1"/>
    <w:rsid w:val="0034541C"/>
    <w:rsid w:val="003463FD"/>
    <w:rsid w:val="0035275A"/>
    <w:rsid w:val="00355A38"/>
    <w:rsid w:val="00360BB9"/>
    <w:rsid w:val="00361D2C"/>
    <w:rsid w:val="003632D1"/>
    <w:rsid w:val="003678B5"/>
    <w:rsid w:val="003711CC"/>
    <w:rsid w:val="00372095"/>
    <w:rsid w:val="00374502"/>
    <w:rsid w:val="00375B17"/>
    <w:rsid w:val="0037794E"/>
    <w:rsid w:val="003809BD"/>
    <w:rsid w:val="00380BCE"/>
    <w:rsid w:val="00381135"/>
    <w:rsid w:val="00381631"/>
    <w:rsid w:val="00381A4E"/>
    <w:rsid w:val="003826A7"/>
    <w:rsid w:val="00384454"/>
    <w:rsid w:val="00384A11"/>
    <w:rsid w:val="00386ECD"/>
    <w:rsid w:val="00391ECB"/>
    <w:rsid w:val="00392712"/>
    <w:rsid w:val="003929C9"/>
    <w:rsid w:val="00393B03"/>
    <w:rsid w:val="00393BFD"/>
    <w:rsid w:val="00394E88"/>
    <w:rsid w:val="00395ABE"/>
    <w:rsid w:val="003977A3"/>
    <w:rsid w:val="003A24CE"/>
    <w:rsid w:val="003A4DEB"/>
    <w:rsid w:val="003A595C"/>
    <w:rsid w:val="003A72CC"/>
    <w:rsid w:val="003A7875"/>
    <w:rsid w:val="003B0F07"/>
    <w:rsid w:val="003B0F44"/>
    <w:rsid w:val="003B1040"/>
    <w:rsid w:val="003B128E"/>
    <w:rsid w:val="003B33AC"/>
    <w:rsid w:val="003B355B"/>
    <w:rsid w:val="003B56E3"/>
    <w:rsid w:val="003C2466"/>
    <w:rsid w:val="003C267D"/>
    <w:rsid w:val="003C422D"/>
    <w:rsid w:val="003C4450"/>
    <w:rsid w:val="003C6556"/>
    <w:rsid w:val="003D0252"/>
    <w:rsid w:val="003D2693"/>
    <w:rsid w:val="003D40EB"/>
    <w:rsid w:val="003D4B0B"/>
    <w:rsid w:val="003D5444"/>
    <w:rsid w:val="003E04ED"/>
    <w:rsid w:val="003E1D6C"/>
    <w:rsid w:val="003E6145"/>
    <w:rsid w:val="003E62B8"/>
    <w:rsid w:val="003E6F4F"/>
    <w:rsid w:val="003E75D9"/>
    <w:rsid w:val="003E7768"/>
    <w:rsid w:val="003E7FC0"/>
    <w:rsid w:val="003F0819"/>
    <w:rsid w:val="003F0E9A"/>
    <w:rsid w:val="003F5E7F"/>
    <w:rsid w:val="003F6F91"/>
    <w:rsid w:val="004018FD"/>
    <w:rsid w:val="00402DF8"/>
    <w:rsid w:val="00407464"/>
    <w:rsid w:val="00410897"/>
    <w:rsid w:val="00410931"/>
    <w:rsid w:val="0041151C"/>
    <w:rsid w:val="004116E2"/>
    <w:rsid w:val="00413A1C"/>
    <w:rsid w:val="00416847"/>
    <w:rsid w:val="00417297"/>
    <w:rsid w:val="00421333"/>
    <w:rsid w:val="0042195C"/>
    <w:rsid w:val="004240C5"/>
    <w:rsid w:val="00425313"/>
    <w:rsid w:val="0042728F"/>
    <w:rsid w:val="004322B0"/>
    <w:rsid w:val="004329E9"/>
    <w:rsid w:val="004330AE"/>
    <w:rsid w:val="004341E3"/>
    <w:rsid w:val="00435D4E"/>
    <w:rsid w:val="00440963"/>
    <w:rsid w:val="00440C17"/>
    <w:rsid w:val="00441F85"/>
    <w:rsid w:val="0044420D"/>
    <w:rsid w:val="0044642F"/>
    <w:rsid w:val="00447C60"/>
    <w:rsid w:val="00450487"/>
    <w:rsid w:val="00451501"/>
    <w:rsid w:val="00451F81"/>
    <w:rsid w:val="00452813"/>
    <w:rsid w:val="00453750"/>
    <w:rsid w:val="00453FEE"/>
    <w:rsid w:val="00457EE4"/>
    <w:rsid w:val="00462E01"/>
    <w:rsid w:val="00465C89"/>
    <w:rsid w:val="004664E2"/>
    <w:rsid w:val="004708D8"/>
    <w:rsid w:val="00472F43"/>
    <w:rsid w:val="00473C77"/>
    <w:rsid w:val="004740C3"/>
    <w:rsid w:val="00475C1F"/>
    <w:rsid w:val="00476361"/>
    <w:rsid w:val="004763B5"/>
    <w:rsid w:val="004771A3"/>
    <w:rsid w:val="00477F3E"/>
    <w:rsid w:val="00480258"/>
    <w:rsid w:val="0048118F"/>
    <w:rsid w:val="00482BD8"/>
    <w:rsid w:val="00482E04"/>
    <w:rsid w:val="00484404"/>
    <w:rsid w:val="004854F7"/>
    <w:rsid w:val="004900ED"/>
    <w:rsid w:val="00490B6C"/>
    <w:rsid w:val="00491A55"/>
    <w:rsid w:val="00492B9F"/>
    <w:rsid w:val="00493768"/>
    <w:rsid w:val="00493A1E"/>
    <w:rsid w:val="00496EC7"/>
    <w:rsid w:val="004973A2"/>
    <w:rsid w:val="004976B5"/>
    <w:rsid w:val="00497C8D"/>
    <w:rsid w:val="004A0B60"/>
    <w:rsid w:val="004A0F68"/>
    <w:rsid w:val="004A170F"/>
    <w:rsid w:val="004A172D"/>
    <w:rsid w:val="004A1B06"/>
    <w:rsid w:val="004A2F52"/>
    <w:rsid w:val="004A3C51"/>
    <w:rsid w:val="004A3CC1"/>
    <w:rsid w:val="004A4B72"/>
    <w:rsid w:val="004A6323"/>
    <w:rsid w:val="004A7340"/>
    <w:rsid w:val="004B1301"/>
    <w:rsid w:val="004B3BBE"/>
    <w:rsid w:val="004B541A"/>
    <w:rsid w:val="004B60A6"/>
    <w:rsid w:val="004B6576"/>
    <w:rsid w:val="004B78D6"/>
    <w:rsid w:val="004B7CA2"/>
    <w:rsid w:val="004C13AF"/>
    <w:rsid w:val="004C1CC3"/>
    <w:rsid w:val="004C1EC1"/>
    <w:rsid w:val="004C227F"/>
    <w:rsid w:val="004C2693"/>
    <w:rsid w:val="004C43A8"/>
    <w:rsid w:val="004C519A"/>
    <w:rsid w:val="004D4E63"/>
    <w:rsid w:val="004D5D91"/>
    <w:rsid w:val="004D7FF3"/>
    <w:rsid w:val="004E1CB0"/>
    <w:rsid w:val="004E2A6F"/>
    <w:rsid w:val="004E2D2F"/>
    <w:rsid w:val="004E2E5F"/>
    <w:rsid w:val="004E337C"/>
    <w:rsid w:val="004E6311"/>
    <w:rsid w:val="004F09E9"/>
    <w:rsid w:val="004F228B"/>
    <w:rsid w:val="004F3091"/>
    <w:rsid w:val="004F3CB1"/>
    <w:rsid w:val="004F4D4A"/>
    <w:rsid w:val="004F581B"/>
    <w:rsid w:val="004F7847"/>
    <w:rsid w:val="005006FC"/>
    <w:rsid w:val="005016B9"/>
    <w:rsid w:val="005020D4"/>
    <w:rsid w:val="00503526"/>
    <w:rsid w:val="00504C51"/>
    <w:rsid w:val="00505577"/>
    <w:rsid w:val="00505D53"/>
    <w:rsid w:val="0050676E"/>
    <w:rsid w:val="00506A68"/>
    <w:rsid w:val="00507001"/>
    <w:rsid w:val="00507684"/>
    <w:rsid w:val="00510124"/>
    <w:rsid w:val="005117B8"/>
    <w:rsid w:val="005138B6"/>
    <w:rsid w:val="00515B08"/>
    <w:rsid w:val="00517D82"/>
    <w:rsid w:val="00520FD7"/>
    <w:rsid w:val="0052298D"/>
    <w:rsid w:val="00522BC0"/>
    <w:rsid w:val="005238EA"/>
    <w:rsid w:val="00523E1F"/>
    <w:rsid w:val="00524BC7"/>
    <w:rsid w:val="00524BD0"/>
    <w:rsid w:val="0052563A"/>
    <w:rsid w:val="005301F9"/>
    <w:rsid w:val="0053036B"/>
    <w:rsid w:val="00530890"/>
    <w:rsid w:val="005326FB"/>
    <w:rsid w:val="00533151"/>
    <w:rsid w:val="00533B62"/>
    <w:rsid w:val="00534C28"/>
    <w:rsid w:val="00535646"/>
    <w:rsid w:val="00535B7D"/>
    <w:rsid w:val="005362E9"/>
    <w:rsid w:val="00536B28"/>
    <w:rsid w:val="00537B27"/>
    <w:rsid w:val="00545995"/>
    <w:rsid w:val="0054678D"/>
    <w:rsid w:val="00546891"/>
    <w:rsid w:val="00546D43"/>
    <w:rsid w:val="00552131"/>
    <w:rsid w:val="0055377C"/>
    <w:rsid w:val="005539BE"/>
    <w:rsid w:val="00553F47"/>
    <w:rsid w:val="005540B2"/>
    <w:rsid w:val="00555B2E"/>
    <w:rsid w:val="00556506"/>
    <w:rsid w:val="00556972"/>
    <w:rsid w:val="00556E7F"/>
    <w:rsid w:val="0055766E"/>
    <w:rsid w:val="00560337"/>
    <w:rsid w:val="00560663"/>
    <w:rsid w:val="00560839"/>
    <w:rsid w:val="00561331"/>
    <w:rsid w:val="00561D73"/>
    <w:rsid w:val="005622B9"/>
    <w:rsid w:val="00562F99"/>
    <w:rsid w:val="005635BC"/>
    <w:rsid w:val="005659FC"/>
    <w:rsid w:val="005670E2"/>
    <w:rsid w:val="00570DEE"/>
    <w:rsid w:val="00570EC6"/>
    <w:rsid w:val="0057107E"/>
    <w:rsid w:val="00573488"/>
    <w:rsid w:val="00574619"/>
    <w:rsid w:val="00575162"/>
    <w:rsid w:val="00575DF1"/>
    <w:rsid w:val="00576538"/>
    <w:rsid w:val="00576F72"/>
    <w:rsid w:val="005778EE"/>
    <w:rsid w:val="0058085E"/>
    <w:rsid w:val="00582D9D"/>
    <w:rsid w:val="0058373E"/>
    <w:rsid w:val="00584C75"/>
    <w:rsid w:val="00584CDD"/>
    <w:rsid w:val="005856E4"/>
    <w:rsid w:val="00585778"/>
    <w:rsid w:val="00585D0D"/>
    <w:rsid w:val="00586991"/>
    <w:rsid w:val="005878CF"/>
    <w:rsid w:val="00590D51"/>
    <w:rsid w:val="00590D6D"/>
    <w:rsid w:val="00591457"/>
    <w:rsid w:val="005951E3"/>
    <w:rsid w:val="00595E97"/>
    <w:rsid w:val="00596815"/>
    <w:rsid w:val="005973E7"/>
    <w:rsid w:val="005A0503"/>
    <w:rsid w:val="005A11C4"/>
    <w:rsid w:val="005A1E90"/>
    <w:rsid w:val="005A1F94"/>
    <w:rsid w:val="005A3405"/>
    <w:rsid w:val="005A5031"/>
    <w:rsid w:val="005A71C0"/>
    <w:rsid w:val="005A7212"/>
    <w:rsid w:val="005A749E"/>
    <w:rsid w:val="005B0A4D"/>
    <w:rsid w:val="005B5181"/>
    <w:rsid w:val="005B6CA4"/>
    <w:rsid w:val="005B7E7F"/>
    <w:rsid w:val="005C2798"/>
    <w:rsid w:val="005C2FCA"/>
    <w:rsid w:val="005C382C"/>
    <w:rsid w:val="005C483A"/>
    <w:rsid w:val="005C693A"/>
    <w:rsid w:val="005C6E6D"/>
    <w:rsid w:val="005C722B"/>
    <w:rsid w:val="005C732E"/>
    <w:rsid w:val="005C7388"/>
    <w:rsid w:val="005D007B"/>
    <w:rsid w:val="005D0E17"/>
    <w:rsid w:val="005D163A"/>
    <w:rsid w:val="005D2BDF"/>
    <w:rsid w:val="005D3234"/>
    <w:rsid w:val="005D3DB9"/>
    <w:rsid w:val="005D55C1"/>
    <w:rsid w:val="005D5C08"/>
    <w:rsid w:val="005E1169"/>
    <w:rsid w:val="005E1795"/>
    <w:rsid w:val="005E1B65"/>
    <w:rsid w:val="005E1BE9"/>
    <w:rsid w:val="005E457C"/>
    <w:rsid w:val="005E4A46"/>
    <w:rsid w:val="005E5504"/>
    <w:rsid w:val="005E6940"/>
    <w:rsid w:val="005F044B"/>
    <w:rsid w:val="005F06D6"/>
    <w:rsid w:val="005F1FE1"/>
    <w:rsid w:val="005F2E5C"/>
    <w:rsid w:val="005F4EFB"/>
    <w:rsid w:val="005F6112"/>
    <w:rsid w:val="005F72E3"/>
    <w:rsid w:val="005F7C2F"/>
    <w:rsid w:val="00601000"/>
    <w:rsid w:val="006011F4"/>
    <w:rsid w:val="00602CB1"/>
    <w:rsid w:val="0060330E"/>
    <w:rsid w:val="0060414B"/>
    <w:rsid w:val="00604754"/>
    <w:rsid w:val="00605CE5"/>
    <w:rsid w:val="006061C8"/>
    <w:rsid w:val="00606927"/>
    <w:rsid w:val="006144DA"/>
    <w:rsid w:val="006144FF"/>
    <w:rsid w:val="0061482F"/>
    <w:rsid w:val="0061501C"/>
    <w:rsid w:val="00616F69"/>
    <w:rsid w:val="00620243"/>
    <w:rsid w:val="00620D9A"/>
    <w:rsid w:val="00622264"/>
    <w:rsid w:val="00622BF4"/>
    <w:rsid w:val="006236EA"/>
    <w:rsid w:val="00624EAA"/>
    <w:rsid w:val="00631567"/>
    <w:rsid w:val="006330C0"/>
    <w:rsid w:val="00635BF1"/>
    <w:rsid w:val="00636B04"/>
    <w:rsid w:val="00636F42"/>
    <w:rsid w:val="006401E5"/>
    <w:rsid w:val="00641D83"/>
    <w:rsid w:val="00644221"/>
    <w:rsid w:val="006471D4"/>
    <w:rsid w:val="00650284"/>
    <w:rsid w:val="00651BED"/>
    <w:rsid w:val="006531F6"/>
    <w:rsid w:val="00653BE7"/>
    <w:rsid w:val="00655558"/>
    <w:rsid w:val="00656408"/>
    <w:rsid w:val="0065660C"/>
    <w:rsid w:val="006609E7"/>
    <w:rsid w:val="00661FAB"/>
    <w:rsid w:val="00664E0A"/>
    <w:rsid w:val="006709B9"/>
    <w:rsid w:val="00671A8B"/>
    <w:rsid w:val="006725BB"/>
    <w:rsid w:val="006765A4"/>
    <w:rsid w:val="00676F9A"/>
    <w:rsid w:val="006803FB"/>
    <w:rsid w:val="00680C4D"/>
    <w:rsid w:val="006834BD"/>
    <w:rsid w:val="00683B68"/>
    <w:rsid w:val="00683DC5"/>
    <w:rsid w:val="00686D4A"/>
    <w:rsid w:val="00687174"/>
    <w:rsid w:val="00691501"/>
    <w:rsid w:val="00692460"/>
    <w:rsid w:val="00696FE1"/>
    <w:rsid w:val="006A0030"/>
    <w:rsid w:val="006A0E26"/>
    <w:rsid w:val="006A0F0C"/>
    <w:rsid w:val="006A2513"/>
    <w:rsid w:val="006A3797"/>
    <w:rsid w:val="006A3B1B"/>
    <w:rsid w:val="006A475D"/>
    <w:rsid w:val="006A5853"/>
    <w:rsid w:val="006A70F6"/>
    <w:rsid w:val="006B1347"/>
    <w:rsid w:val="006B1559"/>
    <w:rsid w:val="006B262B"/>
    <w:rsid w:val="006B3C02"/>
    <w:rsid w:val="006B4163"/>
    <w:rsid w:val="006B6538"/>
    <w:rsid w:val="006B6F0C"/>
    <w:rsid w:val="006C0A87"/>
    <w:rsid w:val="006C3862"/>
    <w:rsid w:val="006C3ED7"/>
    <w:rsid w:val="006D18E1"/>
    <w:rsid w:val="006D2082"/>
    <w:rsid w:val="006D267C"/>
    <w:rsid w:val="006D41E7"/>
    <w:rsid w:val="006E004F"/>
    <w:rsid w:val="006E028B"/>
    <w:rsid w:val="006E0379"/>
    <w:rsid w:val="006E0C21"/>
    <w:rsid w:val="006E2F8E"/>
    <w:rsid w:val="006E3FC8"/>
    <w:rsid w:val="006E40FA"/>
    <w:rsid w:val="006E542F"/>
    <w:rsid w:val="006E6FB9"/>
    <w:rsid w:val="006F0235"/>
    <w:rsid w:val="006F0669"/>
    <w:rsid w:val="006F2623"/>
    <w:rsid w:val="006F2E73"/>
    <w:rsid w:val="006F4E7A"/>
    <w:rsid w:val="006F7165"/>
    <w:rsid w:val="00700376"/>
    <w:rsid w:val="00706C19"/>
    <w:rsid w:val="00707634"/>
    <w:rsid w:val="00711C41"/>
    <w:rsid w:val="00711D25"/>
    <w:rsid w:val="00711D90"/>
    <w:rsid w:val="00713BD0"/>
    <w:rsid w:val="00716BA2"/>
    <w:rsid w:val="007178C4"/>
    <w:rsid w:val="00717B72"/>
    <w:rsid w:val="00720302"/>
    <w:rsid w:val="00720A34"/>
    <w:rsid w:val="00724522"/>
    <w:rsid w:val="0072598E"/>
    <w:rsid w:val="00725AAE"/>
    <w:rsid w:val="00730D48"/>
    <w:rsid w:val="0073133A"/>
    <w:rsid w:val="00732F35"/>
    <w:rsid w:val="0073403C"/>
    <w:rsid w:val="0073406E"/>
    <w:rsid w:val="007347AE"/>
    <w:rsid w:val="00734FAE"/>
    <w:rsid w:val="00735C6E"/>
    <w:rsid w:val="00742EC1"/>
    <w:rsid w:val="007447A5"/>
    <w:rsid w:val="007448B6"/>
    <w:rsid w:val="00744F41"/>
    <w:rsid w:val="00745636"/>
    <w:rsid w:val="00745CF4"/>
    <w:rsid w:val="0075019D"/>
    <w:rsid w:val="00750A04"/>
    <w:rsid w:val="00751D90"/>
    <w:rsid w:val="007522D9"/>
    <w:rsid w:val="007541B0"/>
    <w:rsid w:val="00754321"/>
    <w:rsid w:val="00754720"/>
    <w:rsid w:val="0075647F"/>
    <w:rsid w:val="0075670A"/>
    <w:rsid w:val="007569E3"/>
    <w:rsid w:val="00757E7E"/>
    <w:rsid w:val="00763409"/>
    <w:rsid w:val="00764CFE"/>
    <w:rsid w:val="007654ED"/>
    <w:rsid w:val="0076592E"/>
    <w:rsid w:val="00766EBB"/>
    <w:rsid w:val="0076795C"/>
    <w:rsid w:val="00770B0E"/>
    <w:rsid w:val="00774918"/>
    <w:rsid w:val="007755A5"/>
    <w:rsid w:val="0077599F"/>
    <w:rsid w:val="00775B04"/>
    <w:rsid w:val="00776163"/>
    <w:rsid w:val="007810CE"/>
    <w:rsid w:val="007815F6"/>
    <w:rsid w:val="00782C24"/>
    <w:rsid w:val="0078350D"/>
    <w:rsid w:val="00786A90"/>
    <w:rsid w:val="00790DEB"/>
    <w:rsid w:val="00793A0D"/>
    <w:rsid w:val="00795704"/>
    <w:rsid w:val="00796BB3"/>
    <w:rsid w:val="007A047E"/>
    <w:rsid w:val="007A0998"/>
    <w:rsid w:val="007A19C8"/>
    <w:rsid w:val="007A6504"/>
    <w:rsid w:val="007A71F5"/>
    <w:rsid w:val="007A743A"/>
    <w:rsid w:val="007A7B19"/>
    <w:rsid w:val="007B021E"/>
    <w:rsid w:val="007B0F3E"/>
    <w:rsid w:val="007B121B"/>
    <w:rsid w:val="007B44D1"/>
    <w:rsid w:val="007B6D2F"/>
    <w:rsid w:val="007B7518"/>
    <w:rsid w:val="007C02AB"/>
    <w:rsid w:val="007C0FE6"/>
    <w:rsid w:val="007C2FF2"/>
    <w:rsid w:val="007C4A75"/>
    <w:rsid w:val="007C4B86"/>
    <w:rsid w:val="007D0076"/>
    <w:rsid w:val="007D0E93"/>
    <w:rsid w:val="007D21A3"/>
    <w:rsid w:val="007E012C"/>
    <w:rsid w:val="007E0330"/>
    <w:rsid w:val="007E25FA"/>
    <w:rsid w:val="007E2970"/>
    <w:rsid w:val="007E45B9"/>
    <w:rsid w:val="007E5348"/>
    <w:rsid w:val="007E60D8"/>
    <w:rsid w:val="007E6FE0"/>
    <w:rsid w:val="007F1E71"/>
    <w:rsid w:val="007F559B"/>
    <w:rsid w:val="007F5AB7"/>
    <w:rsid w:val="007F5B00"/>
    <w:rsid w:val="007F6F6C"/>
    <w:rsid w:val="007F7B0E"/>
    <w:rsid w:val="008014F4"/>
    <w:rsid w:val="00802BE2"/>
    <w:rsid w:val="00804081"/>
    <w:rsid w:val="00805356"/>
    <w:rsid w:val="00805572"/>
    <w:rsid w:val="00805B1D"/>
    <w:rsid w:val="0080645F"/>
    <w:rsid w:val="00807361"/>
    <w:rsid w:val="00812B5B"/>
    <w:rsid w:val="00813B0A"/>
    <w:rsid w:val="0081544A"/>
    <w:rsid w:val="008167E4"/>
    <w:rsid w:val="008176E6"/>
    <w:rsid w:val="008208A1"/>
    <w:rsid w:val="00820DD3"/>
    <w:rsid w:val="00823520"/>
    <w:rsid w:val="0082411D"/>
    <w:rsid w:val="00825A05"/>
    <w:rsid w:val="00825C69"/>
    <w:rsid w:val="0082607B"/>
    <w:rsid w:val="008325B8"/>
    <w:rsid w:val="00834A7C"/>
    <w:rsid w:val="00834B86"/>
    <w:rsid w:val="008353B7"/>
    <w:rsid w:val="00835F1D"/>
    <w:rsid w:val="00837E9B"/>
    <w:rsid w:val="0084092F"/>
    <w:rsid w:val="00840D75"/>
    <w:rsid w:val="00841DD3"/>
    <w:rsid w:val="00841E3D"/>
    <w:rsid w:val="00846602"/>
    <w:rsid w:val="00847976"/>
    <w:rsid w:val="0085015F"/>
    <w:rsid w:val="00852837"/>
    <w:rsid w:val="00855323"/>
    <w:rsid w:val="00855392"/>
    <w:rsid w:val="0085610E"/>
    <w:rsid w:val="00856A0B"/>
    <w:rsid w:val="00863CD0"/>
    <w:rsid w:val="008644A6"/>
    <w:rsid w:val="0086473F"/>
    <w:rsid w:val="00865E25"/>
    <w:rsid w:val="00866CD0"/>
    <w:rsid w:val="008671D4"/>
    <w:rsid w:val="00867204"/>
    <w:rsid w:val="00867381"/>
    <w:rsid w:val="00870649"/>
    <w:rsid w:val="00870BA8"/>
    <w:rsid w:val="00871B66"/>
    <w:rsid w:val="00873FE8"/>
    <w:rsid w:val="008740AD"/>
    <w:rsid w:val="0087638A"/>
    <w:rsid w:val="00876ADA"/>
    <w:rsid w:val="00877315"/>
    <w:rsid w:val="00882688"/>
    <w:rsid w:val="00882E71"/>
    <w:rsid w:val="00883391"/>
    <w:rsid w:val="00884138"/>
    <w:rsid w:val="00886269"/>
    <w:rsid w:val="00886583"/>
    <w:rsid w:val="0088788F"/>
    <w:rsid w:val="0089130C"/>
    <w:rsid w:val="00891E1B"/>
    <w:rsid w:val="00891E75"/>
    <w:rsid w:val="008931A8"/>
    <w:rsid w:val="00895D48"/>
    <w:rsid w:val="00897652"/>
    <w:rsid w:val="008A19EB"/>
    <w:rsid w:val="008A5245"/>
    <w:rsid w:val="008A5D7E"/>
    <w:rsid w:val="008B1387"/>
    <w:rsid w:val="008B197A"/>
    <w:rsid w:val="008B33B0"/>
    <w:rsid w:val="008B494B"/>
    <w:rsid w:val="008B5B0E"/>
    <w:rsid w:val="008B6142"/>
    <w:rsid w:val="008B68DC"/>
    <w:rsid w:val="008B6A84"/>
    <w:rsid w:val="008B7CD8"/>
    <w:rsid w:val="008C17BA"/>
    <w:rsid w:val="008C2E47"/>
    <w:rsid w:val="008C49FB"/>
    <w:rsid w:val="008C5F75"/>
    <w:rsid w:val="008C63DD"/>
    <w:rsid w:val="008D04EC"/>
    <w:rsid w:val="008D06FB"/>
    <w:rsid w:val="008D2C0F"/>
    <w:rsid w:val="008D2E28"/>
    <w:rsid w:val="008D3085"/>
    <w:rsid w:val="008D4C6A"/>
    <w:rsid w:val="008D4E3D"/>
    <w:rsid w:val="008D530B"/>
    <w:rsid w:val="008D55CB"/>
    <w:rsid w:val="008E25DE"/>
    <w:rsid w:val="008E4A40"/>
    <w:rsid w:val="008E6E2C"/>
    <w:rsid w:val="008E7268"/>
    <w:rsid w:val="008F0EB1"/>
    <w:rsid w:val="008F152C"/>
    <w:rsid w:val="008F3DE1"/>
    <w:rsid w:val="008F4D5D"/>
    <w:rsid w:val="008F56E8"/>
    <w:rsid w:val="008F5F04"/>
    <w:rsid w:val="008F64B7"/>
    <w:rsid w:val="009007C0"/>
    <w:rsid w:val="00900F79"/>
    <w:rsid w:val="00902BC4"/>
    <w:rsid w:val="009036FB"/>
    <w:rsid w:val="00903AE3"/>
    <w:rsid w:val="00904A56"/>
    <w:rsid w:val="00904BE8"/>
    <w:rsid w:val="00905CFE"/>
    <w:rsid w:val="00912E3D"/>
    <w:rsid w:val="00913646"/>
    <w:rsid w:val="00916718"/>
    <w:rsid w:val="00921518"/>
    <w:rsid w:val="00922CFD"/>
    <w:rsid w:val="00923FBF"/>
    <w:rsid w:val="00924298"/>
    <w:rsid w:val="00924407"/>
    <w:rsid w:val="00926438"/>
    <w:rsid w:val="009268E4"/>
    <w:rsid w:val="0092735B"/>
    <w:rsid w:val="00927AAE"/>
    <w:rsid w:val="00927AF7"/>
    <w:rsid w:val="00927E05"/>
    <w:rsid w:val="00930D39"/>
    <w:rsid w:val="009313C1"/>
    <w:rsid w:val="0093207A"/>
    <w:rsid w:val="0093227F"/>
    <w:rsid w:val="0093494B"/>
    <w:rsid w:val="00941101"/>
    <w:rsid w:val="00941590"/>
    <w:rsid w:val="00943A3D"/>
    <w:rsid w:val="00944CCC"/>
    <w:rsid w:val="00947378"/>
    <w:rsid w:val="0095077C"/>
    <w:rsid w:val="009511DA"/>
    <w:rsid w:val="00951596"/>
    <w:rsid w:val="0095186E"/>
    <w:rsid w:val="00952337"/>
    <w:rsid w:val="00952ADC"/>
    <w:rsid w:val="009543AD"/>
    <w:rsid w:val="00961C27"/>
    <w:rsid w:val="00961E0C"/>
    <w:rsid w:val="00965379"/>
    <w:rsid w:val="00972B49"/>
    <w:rsid w:val="0097518D"/>
    <w:rsid w:val="009751B9"/>
    <w:rsid w:val="00975314"/>
    <w:rsid w:val="0097570B"/>
    <w:rsid w:val="00975912"/>
    <w:rsid w:val="009770E0"/>
    <w:rsid w:val="00981F55"/>
    <w:rsid w:val="00986D9C"/>
    <w:rsid w:val="0099174A"/>
    <w:rsid w:val="009A12CF"/>
    <w:rsid w:val="009A2559"/>
    <w:rsid w:val="009A6586"/>
    <w:rsid w:val="009B1886"/>
    <w:rsid w:val="009B1BA5"/>
    <w:rsid w:val="009B288F"/>
    <w:rsid w:val="009B4368"/>
    <w:rsid w:val="009B4445"/>
    <w:rsid w:val="009B514D"/>
    <w:rsid w:val="009B7933"/>
    <w:rsid w:val="009C296E"/>
    <w:rsid w:val="009C29FB"/>
    <w:rsid w:val="009C4E30"/>
    <w:rsid w:val="009D11C3"/>
    <w:rsid w:val="009D6187"/>
    <w:rsid w:val="009D66D3"/>
    <w:rsid w:val="009D7C53"/>
    <w:rsid w:val="009E323E"/>
    <w:rsid w:val="009E439C"/>
    <w:rsid w:val="009E5969"/>
    <w:rsid w:val="009E657E"/>
    <w:rsid w:val="009F3167"/>
    <w:rsid w:val="009F3B2D"/>
    <w:rsid w:val="009F4ACF"/>
    <w:rsid w:val="009F56D2"/>
    <w:rsid w:val="009F5BF6"/>
    <w:rsid w:val="009F7342"/>
    <w:rsid w:val="00A01F1B"/>
    <w:rsid w:val="00A033C8"/>
    <w:rsid w:val="00A038B8"/>
    <w:rsid w:val="00A03B59"/>
    <w:rsid w:val="00A03C3B"/>
    <w:rsid w:val="00A040EA"/>
    <w:rsid w:val="00A054F7"/>
    <w:rsid w:val="00A0587F"/>
    <w:rsid w:val="00A06B19"/>
    <w:rsid w:val="00A111EC"/>
    <w:rsid w:val="00A114D7"/>
    <w:rsid w:val="00A11D91"/>
    <w:rsid w:val="00A11E78"/>
    <w:rsid w:val="00A12C10"/>
    <w:rsid w:val="00A150F3"/>
    <w:rsid w:val="00A17C53"/>
    <w:rsid w:val="00A21256"/>
    <w:rsid w:val="00A2198B"/>
    <w:rsid w:val="00A224A3"/>
    <w:rsid w:val="00A2264E"/>
    <w:rsid w:val="00A25845"/>
    <w:rsid w:val="00A26FF1"/>
    <w:rsid w:val="00A3146B"/>
    <w:rsid w:val="00A3236E"/>
    <w:rsid w:val="00A35861"/>
    <w:rsid w:val="00A35A99"/>
    <w:rsid w:val="00A35F69"/>
    <w:rsid w:val="00A368F3"/>
    <w:rsid w:val="00A37F41"/>
    <w:rsid w:val="00A40AD7"/>
    <w:rsid w:val="00A40CCD"/>
    <w:rsid w:val="00A41C83"/>
    <w:rsid w:val="00A460C2"/>
    <w:rsid w:val="00A46AD8"/>
    <w:rsid w:val="00A53972"/>
    <w:rsid w:val="00A53D5B"/>
    <w:rsid w:val="00A53E13"/>
    <w:rsid w:val="00A541BE"/>
    <w:rsid w:val="00A55663"/>
    <w:rsid w:val="00A558D6"/>
    <w:rsid w:val="00A55A94"/>
    <w:rsid w:val="00A55DC3"/>
    <w:rsid w:val="00A560F1"/>
    <w:rsid w:val="00A61839"/>
    <w:rsid w:val="00A65A3E"/>
    <w:rsid w:val="00A67FE1"/>
    <w:rsid w:val="00A711EE"/>
    <w:rsid w:val="00A7121E"/>
    <w:rsid w:val="00A71435"/>
    <w:rsid w:val="00A749C8"/>
    <w:rsid w:val="00A74B3E"/>
    <w:rsid w:val="00A74F39"/>
    <w:rsid w:val="00A75282"/>
    <w:rsid w:val="00A75ADE"/>
    <w:rsid w:val="00A76430"/>
    <w:rsid w:val="00A77795"/>
    <w:rsid w:val="00A807C5"/>
    <w:rsid w:val="00A849B1"/>
    <w:rsid w:val="00A86A84"/>
    <w:rsid w:val="00A86CE5"/>
    <w:rsid w:val="00A86F9F"/>
    <w:rsid w:val="00A90C38"/>
    <w:rsid w:val="00A9116C"/>
    <w:rsid w:val="00A940A9"/>
    <w:rsid w:val="00A94721"/>
    <w:rsid w:val="00A94ED5"/>
    <w:rsid w:val="00A959B5"/>
    <w:rsid w:val="00A97C87"/>
    <w:rsid w:val="00AA0816"/>
    <w:rsid w:val="00AA2AC7"/>
    <w:rsid w:val="00AA3547"/>
    <w:rsid w:val="00AA6D61"/>
    <w:rsid w:val="00AA7240"/>
    <w:rsid w:val="00AB03E5"/>
    <w:rsid w:val="00AB1150"/>
    <w:rsid w:val="00AB1FF9"/>
    <w:rsid w:val="00AB21E2"/>
    <w:rsid w:val="00AB3781"/>
    <w:rsid w:val="00AB4B96"/>
    <w:rsid w:val="00AB5479"/>
    <w:rsid w:val="00AB5FE8"/>
    <w:rsid w:val="00AB67BC"/>
    <w:rsid w:val="00AB6AA7"/>
    <w:rsid w:val="00AC3291"/>
    <w:rsid w:val="00AC4561"/>
    <w:rsid w:val="00AC5D8B"/>
    <w:rsid w:val="00AD022A"/>
    <w:rsid w:val="00AD0885"/>
    <w:rsid w:val="00AD3FD5"/>
    <w:rsid w:val="00AD47EA"/>
    <w:rsid w:val="00AD56CA"/>
    <w:rsid w:val="00AE19F4"/>
    <w:rsid w:val="00AE1B46"/>
    <w:rsid w:val="00AE1F92"/>
    <w:rsid w:val="00AE3C18"/>
    <w:rsid w:val="00AE3F04"/>
    <w:rsid w:val="00AE47BB"/>
    <w:rsid w:val="00AE66E7"/>
    <w:rsid w:val="00AE7D6D"/>
    <w:rsid w:val="00AF0248"/>
    <w:rsid w:val="00AF431C"/>
    <w:rsid w:val="00AF4756"/>
    <w:rsid w:val="00AF4942"/>
    <w:rsid w:val="00B02025"/>
    <w:rsid w:val="00B047C5"/>
    <w:rsid w:val="00B05854"/>
    <w:rsid w:val="00B05A65"/>
    <w:rsid w:val="00B0630B"/>
    <w:rsid w:val="00B066F4"/>
    <w:rsid w:val="00B079C8"/>
    <w:rsid w:val="00B07C58"/>
    <w:rsid w:val="00B10250"/>
    <w:rsid w:val="00B11A22"/>
    <w:rsid w:val="00B13AFF"/>
    <w:rsid w:val="00B14030"/>
    <w:rsid w:val="00B1449F"/>
    <w:rsid w:val="00B14A2A"/>
    <w:rsid w:val="00B14C9A"/>
    <w:rsid w:val="00B17C46"/>
    <w:rsid w:val="00B2212E"/>
    <w:rsid w:val="00B23693"/>
    <w:rsid w:val="00B23E91"/>
    <w:rsid w:val="00B24722"/>
    <w:rsid w:val="00B24F73"/>
    <w:rsid w:val="00B25785"/>
    <w:rsid w:val="00B2580D"/>
    <w:rsid w:val="00B26620"/>
    <w:rsid w:val="00B31427"/>
    <w:rsid w:val="00B340A5"/>
    <w:rsid w:val="00B35713"/>
    <w:rsid w:val="00B35A8F"/>
    <w:rsid w:val="00B361CC"/>
    <w:rsid w:val="00B368CB"/>
    <w:rsid w:val="00B36BCD"/>
    <w:rsid w:val="00B425A0"/>
    <w:rsid w:val="00B43B57"/>
    <w:rsid w:val="00B50D1E"/>
    <w:rsid w:val="00B5151F"/>
    <w:rsid w:val="00B529AA"/>
    <w:rsid w:val="00B52A97"/>
    <w:rsid w:val="00B53A2A"/>
    <w:rsid w:val="00B5448B"/>
    <w:rsid w:val="00B57FAE"/>
    <w:rsid w:val="00B60D2E"/>
    <w:rsid w:val="00B6214F"/>
    <w:rsid w:val="00B638A7"/>
    <w:rsid w:val="00B6712C"/>
    <w:rsid w:val="00B6786F"/>
    <w:rsid w:val="00B72FDB"/>
    <w:rsid w:val="00B75E65"/>
    <w:rsid w:val="00B80E66"/>
    <w:rsid w:val="00B80EEC"/>
    <w:rsid w:val="00B81566"/>
    <w:rsid w:val="00B8437C"/>
    <w:rsid w:val="00B90518"/>
    <w:rsid w:val="00B918C6"/>
    <w:rsid w:val="00B91985"/>
    <w:rsid w:val="00B9376E"/>
    <w:rsid w:val="00B9595C"/>
    <w:rsid w:val="00B96B12"/>
    <w:rsid w:val="00B97888"/>
    <w:rsid w:val="00BA07C8"/>
    <w:rsid w:val="00BA458F"/>
    <w:rsid w:val="00BA5DB7"/>
    <w:rsid w:val="00BA71B5"/>
    <w:rsid w:val="00BA7802"/>
    <w:rsid w:val="00BB0726"/>
    <w:rsid w:val="00BB14E0"/>
    <w:rsid w:val="00BB1781"/>
    <w:rsid w:val="00BB1B65"/>
    <w:rsid w:val="00BB763C"/>
    <w:rsid w:val="00BB7892"/>
    <w:rsid w:val="00BC02D6"/>
    <w:rsid w:val="00BC08C4"/>
    <w:rsid w:val="00BC0B3A"/>
    <w:rsid w:val="00BC12DD"/>
    <w:rsid w:val="00BC1E01"/>
    <w:rsid w:val="00BC2475"/>
    <w:rsid w:val="00BC719D"/>
    <w:rsid w:val="00BC7F2D"/>
    <w:rsid w:val="00BD0BB5"/>
    <w:rsid w:val="00BD0DD3"/>
    <w:rsid w:val="00BD48F4"/>
    <w:rsid w:val="00BD4DA4"/>
    <w:rsid w:val="00BD5173"/>
    <w:rsid w:val="00BD53D0"/>
    <w:rsid w:val="00BE0075"/>
    <w:rsid w:val="00BE1604"/>
    <w:rsid w:val="00BE17E5"/>
    <w:rsid w:val="00BE26B5"/>
    <w:rsid w:val="00BE3EF1"/>
    <w:rsid w:val="00BE730E"/>
    <w:rsid w:val="00BF00AC"/>
    <w:rsid w:val="00BF0C0D"/>
    <w:rsid w:val="00BF16AD"/>
    <w:rsid w:val="00BF1EEF"/>
    <w:rsid w:val="00BF41F3"/>
    <w:rsid w:val="00BF5E2F"/>
    <w:rsid w:val="00BF5FC6"/>
    <w:rsid w:val="00BF7C06"/>
    <w:rsid w:val="00C01720"/>
    <w:rsid w:val="00C02B29"/>
    <w:rsid w:val="00C02EE9"/>
    <w:rsid w:val="00C02FDE"/>
    <w:rsid w:val="00C03069"/>
    <w:rsid w:val="00C035A2"/>
    <w:rsid w:val="00C03C77"/>
    <w:rsid w:val="00C0550A"/>
    <w:rsid w:val="00C05CBC"/>
    <w:rsid w:val="00C06DC6"/>
    <w:rsid w:val="00C10D00"/>
    <w:rsid w:val="00C13EAB"/>
    <w:rsid w:val="00C14BDA"/>
    <w:rsid w:val="00C15C7E"/>
    <w:rsid w:val="00C16D30"/>
    <w:rsid w:val="00C205FA"/>
    <w:rsid w:val="00C2149B"/>
    <w:rsid w:val="00C229D5"/>
    <w:rsid w:val="00C2320E"/>
    <w:rsid w:val="00C25A65"/>
    <w:rsid w:val="00C25EAD"/>
    <w:rsid w:val="00C31D67"/>
    <w:rsid w:val="00C32B6F"/>
    <w:rsid w:val="00C34AA0"/>
    <w:rsid w:val="00C34B0F"/>
    <w:rsid w:val="00C3520E"/>
    <w:rsid w:val="00C35782"/>
    <w:rsid w:val="00C357C5"/>
    <w:rsid w:val="00C360EB"/>
    <w:rsid w:val="00C37495"/>
    <w:rsid w:val="00C40DFA"/>
    <w:rsid w:val="00C44306"/>
    <w:rsid w:val="00C4739B"/>
    <w:rsid w:val="00C50504"/>
    <w:rsid w:val="00C5193C"/>
    <w:rsid w:val="00C543D0"/>
    <w:rsid w:val="00C5530D"/>
    <w:rsid w:val="00C560F9"/>
    <w:rsid w:val="00C565A5"/>
    <w:rsid w:val="00C61F03"/>
    <w:rsid w:val="00C620E9"/>
    <w:rsid w:val="00C640F9"/>
    <w:rsid w:val="00C65366"/>
    <w:rsid w:val="00C6723F"/>
    <w:rsid w:val="00C7050B"/>
    <w:rsid w:val="00C730A1"/>
    <w:rsid w:val="00C75B63"/>
    <w:rsid w:val="00C8010B"/>
    <w:rsid w:val="00C806B2"/>
    <w:rsid w:val="00C81F6C"/>
    <w:rsid w:val="00C82662"/>
    <w:rsid w:val="00C82F45"/>
    <w:rsid w:val="00C82FC1"/>
    <w:rsid w:val="00C83052"/>
    <w:rsid w:val="00C83DF9"/>
    <w:rsid w:val="00C8673D"/>
    <w:rsid w:val="00C86870"/>
    <w:rsid w:val="00C870B9"/>
    <w:rsid w:val="00C8720D"/>
    <w:rsid w:val="00C877D0"/>
    <w:rsid w:val="00C9319C"/>
    <w:rsid w:val="00C93A38"/>
    <w:rsid w:val="00C93AB5"/>
    <w:rsid w:val="00C942FF"/>
    <w:rsid w:val="00C96498"/>
    <w:rsid w:val="00C97ED1"/>
    <w:rsid w:val="00CA0775"/>
    <w:rsid w:val="00CA0CF8"/>
    <w:rsid w:val="00CA1AD4"/>
    <w:rsid w:val="00CA2374"/>
    <w:rsid w:val="00CA2474"/>
    <w:rsid w:val="00CA26C5"/>
    <w:rsid w:val="00CA483A"/>
    <w:rsid w:val="00CA6983"/>
    <w:rsid w:val="00CB0664"/>
    <w:rsid w:val="00CB0798"/>
    <w:rsid w:val="00CB3E74"/>
    <w:rsid w:val="00CB7D00"/>
    <w:rsid w:val="00CC248D"/>
    <w:rsid w:val="00CC301D"/>
    <w:rsid w:val="00CC54C8"/>
    <w:rsid w:val="00CC5D4C"/>
    <w:rsid w:val="00CC6C80"/>
    <w:rsid w:val="00CC6EA0"/>
    <w:rsid w:val="00CC6FE8"/>
    <w:rsid w:val="00CC701A"/>
    <w:rsid w:val="00CD074A"/>
    <w:rsid w:val="00CD1D69"/>
    <w:rsid w:val="00CD1E0D"/>
    <w:rsid w:val="00CD2B32"/>
    <w:rsid w:val="00CD36CF"/>
    <w:rsid w:val="00CD3915"/>
    <w:rsid w:val="00CD4141"/>
    <w:rsid w:val="00CD4595"/>
    <w:rsid w:val="00CD4926"/>
    <w:rsid w:val="00CD61E2"/>
    <w:rsid w:val="00CD7AB0"/>
    <w:rsid w:val="00CE0549"/>
    <w:rsid w:val="00CE423B"/>
    <w:rsid w:val="00CE44BA"/>
    <w:rsid w:val="00CE5B6A"/>
    <w:rsid w:val="00CE75BC"/>
    <w:rsid w:val="00CF039B"/>
    <w:rsid w:val="00CF0814"/>
    <w:rsid w:val="00CF0B4E"/>
    <w:rsid w:val="00CF0F4A"/>
    <w:rsid w:val="00CF1417"/>
    <w:rsid w:val="00CF1B3A"/>
    <w:rsid w:val="00CF210A"/>
    <w:rsid w:val="00CF321F"/>
    <w:rsid w:val="00CF7AA9"/>
    <w:rsid w:val="00D01490"/>
    <w:rsid w:val="00D023A7"/>
    <w:rsid w:val="00D038E6"/>
    <w:rsid w:val="00D042A8"/>
    <w:rsid w:val="00D051D2"/>
    <w:rsid w:val="00D062A5"/>
    <w:rsid w:val="00D07A39"/>
    <w:rsid w:val="00D07B63"/>
    <w:rsid w:val="00D11954"/>
    <w:rsid w:val="00D13003"/>
    <w:rsid w:val="00D1394C"/>
    <w:rsid w:val="00D13E18"/>
    <w:rsid w:val="00D13F8B"/>
    <w:rsid w:val="00D15341"/>
    <w:rsid w:val="00D20741"/>
    <w:rsid w:val="00D21BD6"/>
    <w:rsid w:val="00D2385C"/>
    <w:rsid w:val="00D24FD2"/>
    <w:rsid w:val="00D26843"/>
    <w:rsid w:val="00D26B03"/>
    <w:rsid w:val="00D27289"/>
    <w:rsid w:val="00D27B38"/>
    <w:rsid w:val="00D30BE8"/>
    <w:rsid w:val="00D33842"/>
    <w:rsid w:val="00D349F8"/>
    <w:rsid w:val="00D407BF"/>
    <w:rsid w:val="00D41AA2"/>
    <w:rsid w:val="00D45E01"/>
    <w:rsid w:val="00D4627D"/>
    <w:rsid w:val="00D47BE9"/>
    <w:rsid w:val="00D47D75"/>
    <w:rsid w:val="00D5022A"/>
    <w:rsid w:val="00D51A50"/>
    <w:rsid w:val="00D51BD7"/>
    <w:rsid w:val="00D546D3"/>
    <w:rsid w:val="00D55107"/>
    <w:rsid w:val="00D5547F"/>
    <w:rsid w:val="00D55FB8"/>
    <w:rsid w:val="00D57783"/>
    <w:rsid w:val="00D579A4"/>
    <w:rsid w:val="00D62921"/>
    <w:rsid w:val="00D64068"/>
    <w:rsid w:val="00D67245"/>
    <w:rsid w:val="00D678A9"/>
    <w:rsid w:val="00D67E88"/>
    <w:rsid w:val="00D70255"/>
    <w:rsid w:val="00D71012"/>
    <w:rsid w:val="00D7172C"/>
    <w:rsid w:val="00D7202A"/>
    <w:rsid w:val="00D720DD"/>
    <w:rsid w:val="00D72BB6"/>
    <w:rsid w:val="00D741A2"/>
    <w:rsid w:val="00D746A1"/>
    <w:rsid w:val="00D77071"/>
    <w:rsid w:val="00D77344"/>
    <w:rsid w:val="00D77BBD"/>
    <w:rsid w:val="00D77ECE"/>
    <w:rsid w:val="00D833DC"/>
    <w:rsid w:val="00D84FB6"/>
    <w:rsid w:val="00D87C62"/>
    <w:rsid w:val="00D87EE4"/>
    <w:rsid w:val="00D914E9"/>
    <w:rsid w:val="00D95EDC"/>
    <w:rsid w:val="00D96E24"/>
    <w:rsid w:val="00D972AB"/>
    <w:rsid w:val="00DA0E84"/>
    <w:rsid w:val="00DA1C85"/>
    <w:rsid w:val="00DA1EB7"/>
    <w:rsid w:val="00DA28F3"/>
    <w:rsid w:val="00DA35B6"/>
    <w:rsid w:val="00DA4942"/>
    <w:rsid w:val="00DA59FB"/>
    <w:rsid w:val="00DA7B3C"/>
    <w:rsid w:val="00DB1647"/>
    <w:rsid w:val="00DB16B0"/>
    <w:rsid w:val="00DB287F"/>
    <w:rsid w:val="00DB39F7"/>
    <w:rsid w:val="00DC10B0"/>
    <w:rsid w:val="00DC1F30"/>
    <w:rsid w:val="00DC415E"/>
    <w:rsid w:val="00DC4865"/>
    <w:rsid w:val="00DC5447"/>
    <w:rsid w:val="00DC63C2"/>
    <w:rsid w:val="00DC77D5"/>
    <w:rsid w:val="00DC78D9"/>
    <w:rsid w:val="00DC7D84"/>
    <w:rsid w:val="00DD0453"/>
    <w:rsid w:val="00DD08B6"/>
    <w:rsid w:val="00DD2128"/>
    <w:rsid w:val="00DD2B7A"/>
    <w:rsid w:val="00DD3FDD"/>
    <w:rsid w:val="00DD3FEF"/>
    <w:rsid w:val="00DD54FB"/>
    <w:rsid w:val="00DD7044"/>
    <w:rsid w:val="00DE0180"/>
    <w:rsid w:val="00DE03B3"/>
    <w:rsid w:val="00DE046E"/>
    <w:rsid w:val="00DE2030"/>
    <w:rsid w:val="00DE2419"/>
    <w:rsid w:val="00DE2E0A"/>
    <w:rsid w:val="00DE3D8F"/>
    <w:rsid w:val="00DE49A8"/>
    <w:rsid w:val="00DE5CCF"/>
    <w:rsid w:val="00DF09DE"/>
    <w:rsid w:val="00DF1207"/>
    <w:rsid w:val="00DF2BED"/>
    <w:rsid w:val="00DF3E27"/>
    <w:rsid w:val="00DF4320"/>
    <w:rsid w:val="00DF5FB6"/>
    <w:rsid w:val="00E0056B"/>
    <w:rsid w:val="00E0210D"/>
    <w:rsid w:val="00E05F0A"/>
    <w:rsid w:val="00E0652A"/>
    <w:rsid w:val="00E12261"/>
    <w:rsid w:val="00E12C86"/>
    <w:rsid w:val="00E1348B"/>
    <w:rsid w:val="00E13B37"/>
    <w:rsid w:val="00E167FF"/>
    <w:rsid w:val="00E16A78"/>
    <w:rsid w:val="00E179AD"/>
    <w:rsid w:val="00E200FB"/>
    <w:rsid w:val="00E206FE"/>
    <w:rsid w:val="00E23403"/>
    <w:rsid w:val="00E252F3"/>
    <w:rsid w:val="00E25334"/>
    <w:rsid w:val="00E258E1"/>
    <w:rsid w:val="00E27290"/>
    <w:rsid w:val="00E2746A"/>
    <w:rsid w:val="00E277A3"/>
    <w:rsid w:val="00E31786"/>
    <w:rsid w:val="00E336EE"/>
    <w:rsid w:val="00E37CC5"/>
    <w:rsid w:val="00E410C8"/>
    <w:rsid w:val="00E4152D"/>
    <w:rsid w:val="00E43242"/>
    <w:rsid w:val="00E44166"/>
    <w:rsid w:val="00E4433E"/>
    <w:rsid w:val="00E446F8"/>
    <w:rsid w:val="00E46970"/>
    <w:rsid w:val="00E46CD3"/>
    <w:rsid w:val="00E529D8"/>
    <w:rsid w:val="00E52E16"/>
    <w:rsid w:val="00E538CE"/>
    <w:rsid w:val="00E54863"/>
    <w:rsid w:val="00E54F18"/>
    <w:rsid w:val="00E56DA9"/>
    <w:rsid w:val="00E626C0"/>
    <w:rsid w:val="00E63406"/>
    <w:rsid w:val="00E63CF1"/>
    <w:rsid w:val="00E63F31"/>
    <w:rsid w:val="00E64003"/>
    <w:rsid w:val="00E64BC2"/>
    <w:rsid w:val="00E65512"/>
    <w:rsid w:val="00E65C7B"/>
    <w:rsid w:val="00E666DB"/>
    <w:rsid w:val="00E66E29"/>
    <w:rsid w:val="00E67B9B"/>
    <w:rsid w:val="00E72C6A"/>
    <w:rsid w:val="00E74C7C"/>
    <w:rsid w:val="00E75A33"/>
    <w:rsid w:val="00E77C63"/>
    <w:rsid w:val="00E77DC8"/>
    <w:rsid w:val="00E8204C"/>
    <w:rsid w:val="00E8348F"/>
    <w:rsid w:val="00E853FB"/>
    <w:rsid w:val="00E86BB0"/>
    <w:rsid w:val="00E870A0"/>
    <w:rsid w:val="00E91762"/>
    <w:rsid w:val="00E91AB0"/>
    <w:rsid w:val="00E91FAF"/>
    <w:rsid w:val="00E95375"/>
    <w:rsid w:val="00E95BA0"/>
    <w:rsid w:val="00E96BF8"/>
    <w:rsid w:val="00E9720A"/>
    <w:rsid w:val="00E97213"/>
    <w:rsid w:val="00EA26AB"/>
    <w:rsid w:val="00EA26BC"/>
    <w:rsid w:val="00EA2C4F"/>
    <w:rsid w:val="00EA606B"/>
    <w:rsid w:val="00EA6A85"/>
    <w:rsid w:val="00EA7A51"/>
    <w:rsid w:val="00EB120C"/>
    <w:rsid w:val="00EB3ABA"/>
    <w:rsid w:val="00EB4D79"/>
    <w:rsid w:val="00EB611D"/>
    <w:rsid w:val="00EB6128"/>
    <w:rsid w:val="00EB622F"/>
    <w:rsid w:val="00EB7F91"/>
    <w:rsid w:val="00EC253B"/>
    <w:rsid w:val="00EC27D4"/>
    <w:rsid w:val="00EC7F4F"/>
    <w:rsid w:val="00ED12CF"/>
    <w:rsid w:val="00ED198A"/>
    <w:rsid w:val="00ED1CAB"/>
    <w:rsid w:val="00ED25A2"/>
    <w:rsid w:val="00ED3EC5"/>
    <w:rsid w:val="00ED3EF6"/>
    <w:rsid w:val="00ED5000"/>
    <w:rsid w:val="00ED5F29"/>
    <w:rsid w:val="00ED75B5"/>
    <w:rsid w:val="00ED7F5F"/>
    <w:rsid w:val="00EE120C"/>
    <w:rsid w:val="00EE309E"/>
    <w:rsid w:val="00EE3650"/>
    <w:rsid w:val="00EE3DE9"/>
    <w:rsid w:val="00EE6336"/>
    <w:rsid w:val="00EE7157"/>
    <w:rsid w:val="00EF1D06"/>
    <w:rsid w:val="00EF3602"/>
    <w:rsid w:val="00EF3D31"/>
    <w:rsid w:val="00EF4C20"/>
    <w:rsid w:val="00EF4C98"/>
    <w:rsid w:val="00EF51F0"/>
    <w:rsid w:val="00EF74AC"/>
    <w:rsid w:val="00F020EC"/>
    <w:rsid w:val="00F0324A"/>
    <w:rsid w:val="00F03EA7"/>
    <w:rsid w:val="00F03FF4"/>
    <w:rsid w:val="00F04639"/>
    <w:rsid w:val="00F04EEE"/>
    <w:rsid w:val="00F06957"/>
    <w:rsid w:val="00F06966"/>
    <w:rsid w:val="00F104CB"/>
    <w:rsid w:val="00F10E18"/>
    <w:rsid w:val="00F1208D"/>
    <w:rsid w:val="00F126B6"/>
    <w:rsid w:val="00F12B09"/>
    <w:rsid w:val="00F12C88"/>
    <w:rsid w:val="00F1432D"/>
    <w:rsid w:val="00F1450F"/>
    <w:rsid w:val="00F15A3B"/>
    <w:rsid w:val="00F17861"/>
    <w:rsid w:val="00F20DCB"/>
    <w:rsid w:val="00F20FFA"/>
    <w:rsid w:val="00F231DC"/>
    <w:rsid w:val="00F25C4F"/>
    <w:rsid w:val="00F26962"/>
    <w:rsid w:val="00F26AE6"/>
    <w:rsid w:val="00F26ED3"/>
    <w:rsid w:val="00F31658"/>
    <w:rsid w:val="00F319F8"/>
    <w:rsid w:val="00F3544F"/>
    <w:rsid w:val="00F3747D"/>
    <w:rsid w:val="00F41C8D"/>
    <w:rsid w:val="00F420FA"/>
    <w:rsid w:val="00F425F0"/>
    <w:rsid w:val="00F449FB"/>
    <w:rsid w:val="00F44E15"/>
    <w:rsid w:val="00F463FC"/>
    <w:rsid w:val="00F464A2"/>
    <w:rsid w:val="00F533C9"/>
    <w:rsid w:val="00F53562"/>
    <w:rsid w:val="00F53C20"/>
    <w:rsid w:val="00F54ACF"/>
    <w:rsid w:val="00F54C7B"/>
    <w:rsid w:val="00F54D3C"/>
    <w:rsid w:val="00F552F9"/>
    <w:rsid w:val="00F557F6"/>
    <w:rsid w:val="00F5666A"/>
    <w:rsid w:val="00F6205B"/>
    <w:rsid w:val="00F62456"/>
    <w:rsid w:val="00F6258D"/>
    <w:rsid w:val="00F631E4"/>
    <w:rsid w:val="00F63F9C"/>
    <w:rsid w:val="00F66273"/>
    <w:rsid w:val="00F66587"/>
    <w:rsid w:val="00F67572"/>
    <w:rsid w:val="00F70388"/>
    <w:rsid w:val="00F70B0C"/>
    <w:rsid w:val="00F721CB"/>
    <w:rsid w:val="00F73224"/>
    <w:rsid w:val="00F767FB"/>
    <w:rsid w:val="00F76CB1"/>
    <w:rsid w:val="00F76EBD"/>
    <w:rsid w:val="00F801E3"/>
    <w:rsid w:val="00F8059D"/>
    <w:rsid w:val="00F811D5"/>
    <w:rsid w:val="00F82BA7"/>
    <w:rsid w:val="00F85A62"/>
    <w:rsid w:val="00F86246"/>
    <w:rsid w:val="00F90E5D"/>
    <w:rsid w:val="00F915F8"/>
    <w:rsid w:val="00F945E7"/>
    <w:rsid w:val="00F95164"/>
    <w:rsid w:val="00F964D7"/>
    <w:rsid w:val="00FA0971"/>
    <w:rsid w:val="00FA0AC1"/>
    <w:rsid w:val="00FA1163"/>
    <w:rsid w:val="00FA4328"/>
    <w:rsid w:val="00FA4B3A"/>
    <w:rsid w:val="00FA4D51"/>
    <w:rsid w:val="00FA586C"/>
    <w:rsid w:val="00FA7552"/>
    <w:rsid w:val="00FA7A1B"/>
    <w:rsid w:val="00FB0B62"/>
    <w:rsid w:val="00FB3208"/>
    <w:rsid w:val="00FB3801"/>
    <w:rsid w:val="00FB3A8C"/>
    <w:rsid w:val="00FB4058"/>
    <w:rsid w:val="00FB4691"/>
    <w:rsid w:val="00FB4901"/>
    <w:rsid w:val="00FB5DE5"/>
    <w:rsid w:val="00FB7EB1"/>
    <w:rsid w:val="00FC373F"/>
    <w:rsid w:val="00FC376F"/>
    <w:rsid w:val="00FC49DC"/>
    <w:rsid w:val="00FC5170"/>
    <w:rsid w:val="00FD1974"/>
    <w:rsid w:val="00FD4336"/>
    <w:rsid w:val="00FD478C"/>
    <w:rsid w:val="00FD556B"/>
    <w:rsid w:val="00FD5EE0"/>
    <w:rsid w:val="00FE25DF"/>
    <w:rsid w:val="00FE31E8"/>
    <w:rsid w:val="00FE3942"/>
    <w:rsid w:val="00FE4F5B"/>
    <w:rsid w:val="00FE5976"/>
    <w:rsid w:val="00FE6C5A"/>
    <w:rsid w:val="00FF1834"/>
    <w:rsid w:val="00FF1CFA"/>
    <w:rsid w:val="00FF26F0"/>
    <w:rsid w:val="00FF51F4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B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260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60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lign-center">
    <w:name w:val="align-center"/>
    <w:basedOn w:val="a"/>
    <w:rsid w:val="00E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F555EE406535AF3FA1D6DF1DE78489F8590BBA6316184C228DED3BE0D202F28C3C472A499CE63A88ED5O5p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F555EE406535AF3FA1D6DF1DE78489F8590BBA6316184C228DED3BE0D202F28C3C472A499CE63A88ED5O5p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45B064DCAA0D6D284136BA7DCE6E9A664EA781E793D1B97841722841G3B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45B064DCAA0D6D284136BA7DCE6E9A664EA78EE294D1B97841722841G3B3E" TargetMode="External"/><Relationship Id="rId10" Type="http://schemas.openxmlformats.org/officeDocument/2006/relationships/hyperlink" Target="consultantplus://offline/ref=345F555EE406535AF3FA1D6DF1DE78489F8590BBA6316184C228DED3BE0D202F28C3C472A499CE63A88ED5O5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F555EE406535AF3FA1D6DF1DE78489F8590BBA6316184C228DED3BE0D202F28C3C472A499CE63A88ED5O5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5DAA-4FAA-4E69-912B-D72A18A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2013-07-15T04:46:00Z</cp:lastPrinted>
  <dcterms:created xsi:type="dcterms:W3CDTF">2013-07-16T10:34:00Z</dcterms:created>
  <dcterms:modified xsi:type="dcterms:W3CDTF">2013-07-16T10:44:00Z</dcterms:modified>
</cp:coreProperties>
</file>