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C" w:rsidRPr="00AE45F3" w:rsidRDefault="00AE45F3" w:rsidP="008A15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E45F3" w:rsidRDefault="00AE45F3" w:rsidP="00AE45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отчету об исполнении бюджета</w:t>
      </w:r>
    </w:p>
    <w:p w:rsidR="00AE45F3" w:rsidRDefault="00AE45F3" w:rsidP="00AE45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Озерского городского округа за 2012 год</w:t>
      </w:r>
    </w:p>
    <w:p w:rsidR="00AE45F3" w:rsidRDefault="00AE45F3" w:rsidP="00AE45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17" w:rsidRDefault="00617D17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7D1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публичных слушаний, рассмотрев проект решения Собрания депутатов Озерского городского округа «Об исполнении бюджета Озерского округа за 2012 год», отмечают следующее.</w:t>
      </w:r>
    </w:p>
    <w:p w:rsidR="00AE45F3" w:rsidRDefault="00617D17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поступлений доходов бюджета округа составил 2 686 024,40 тыс. руб., или 103,4 % от утверж</w:t>
      </w:r>
      <w:r w:rsidR="002A4B99">
        <w:rPr>
          <w:rFonts w:ascii="Times New Roman" w:hAnsi="Times New Roman" w:cs="Times New Roman"/>
          <w:sz w:val="28"/>
          <w:szCs w:val="28"/>
        </w:rPr>
        <w:t>денных бюджетных назначений. Снижение к уровню 2011 года составил</w:t>
      </w:r>
      <w:r w:rsidR="00287EEE">
        <w:rPr>
          <w:rFonts w:ascii="Times New Roman" w:hAnsi="Times New Roman" w:cs="Times New Roman"/>
          <w:sz w:val="28"/>
          <w:szCs w:val="28"/>
        </w:rPr>
        <w:t>о</w:t>
      </w:r>
      <w:r w:rsidR="002A4B99">
        <w:rPr>
          <w:rFonts w:ascii="Times New Roman" w:hAnsi="Times New Roman" w:cs="Times New Roman"/>
          <w:sz w:val="28"/>
          <w:szCs w:val="28"/>
        </w:rPr>
        <w:t xml:space="preserve"> 3</w:t>
      </w:r>
      <w:r w:rsidR="00EB2EBE">
        <w:rPr>
          <w:rFonts w:ascii="Times New Roman" w:hAnsi="Times New Roman" w:cs="Times New Roman"/>
          <w:sz w:val="28"/>
          <w:szCs w:val="28"/>
        </w:rPr>
        <w:t xml:space="preserve">,2 </w:t>
      </w:r>
      <w:r w:rsidR="002A4B99">
        <w:rPr>
          <w:rFonts w:ascii="Times New Roman" w:hAnsi="Times New Roman" w:cs="Times New Roman"/>
          <w:sz w:val="28"/>
          <w:szCs w:val="28"/>
        </w:rPr>
        <w:t>%.</w:t>
      </w:r>
    </w:p>
    <w:p w:rsidR="002A4B99" w:rsidRDefault="002A4B99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Основную часть этих средств (66,7%</w:t>
      </w:r>
      <w:r w:rsidR="00730608">
        <w:rPr>
          <w:rFonts w:ascii="Times New Roman" w:hAnsi="Times New Roman" w:cs="Times New Roman"/>
          <w:sz w:val="28"/>
          <w:szCs w:val="28"/>
        </w:rPr>
        <w:t xml:space="preserve"> от общего объема поступивших доходов</w:t>
      </w:r>
      <w:r>
        <w:rPr>
          <w:rFonts w:ascii="Times New Roman" w:hAnsi="Times New Roman" w:cs="Times New Roman"/>
          <w:sz w:val="28"/>
          <w:szCs w:val="28"/>
        </w:rPr>
        <w:t>) составляют безвозмездные поступления от областного и федерального бюджетов – 1 790 946,78 тыс. руб., или 95,8 % от утвержденных бюджетных назначений</w:t>
      </w:r>
      <w:r w:rsidR="00216B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BC9">
        <w:rPr>
          <w:rFonts w:ascii="Times New Roman" w:hAnsi="Times New Roman" w:cs="Times New Roman"/>
          <w:sz w:val="28"/>
          <w:szCs w:val="28"/>
        </w:rPr>
        <w:t xml:space="preserve"> Данное отклонение фактических доходов от плановых назначений связано с тем, что некоторые межбюджетные трансферты носят заявительный </w:t>
      </w:r>
      <w:proofErr w:type="gramStart"/>
      <w:r w:rsidR="00216BC9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216BC9">
        <w:rPr>
          <w:rFonts w:ascii="Times New Roman" w:hAnsi="Times New Roman" w:cs="Times New Roman"/>
          <w:sz w:val="28"/>
          <w:szCs w:val="28"/>
        </w:rPr>
        <w:t xml:space="preserve"> и потребности в утвержденном объеме финансирования не возникло.</w:t>
      </w:r>
      <w:r w:rsidR="00F24DA0">
        <w:rPr>
          <w:rFonts w:ascii="Times New Roman" w:hAnsi="Times New Roman" w:cs="Times New Roman"/>
          <w:sz w:val="28"/>
          <w:szCs w:val="28"/>
        </w:rPr>
        <w:t xml:space="preserve"> Объем дотаций от других бюджетов бюджетной системы РФ, направляемый на решение вопросов местного значения, составил 425 223,99 тыс. руб., что ниже уровня 2011 года на 25,1%.</w:t>
      </w:r>
    </w:p>
    <w:p w:rsidR="00216BC9" w:rsidRDefault="00216BC9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Собственные доходы бюджета округа </w:t>
      </w:r>
      <w:r w:rsidR="00730608">
        <w:rPr>
          <w:rFonts w:ascii="Times New Roman" w:hAnsi="Times New Roman" w:cs="Times New Roman"/>
          <w:sz w:val="28"/>
          <w:szCs w:val="28"/>
        </w:rPr>
        <w:t xml:space="preserve">(33,3% от общего объема поступивших доходов) 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сформированы, в основном, за счет </w:t>
      </w:r>
      <w:r w:rsidR="00730608">
        <w:rPr>
          <w:rFonts w:ascii="Times New Roman" w:hAnsi="Times New Roman" w:cs="Times New Roman"/>
          <w:sz w:val="28"/>
          <w:szCs w:val="28"/>
        </w:rPr>
        <w:t>налога на доходы физических лиц (70</w:t>
      </w:r>
      <w:r w:rsidR="00EB2EBE">
        <w:rPr>
          <w:rFonts w:ascii="Times New Roman" w:hAnsi="Times New Roman" w:cs="Times New Roman"/>
          <w:sz w:val="28"/>
          <w:szCs w:val="28"/>
        </w:rPr>
        <w:t xml:space="preserve">,0 </w:t>
      </w:r>
      <w:r w:rsidR="00730608">
        <w:rPr>
          <w:rFonts w:ascii="Times New Roman" w:hAnsi="Times New Roman" w:cs="Times New Roman"/>
          <w:sz w:val="28"/>
          <w:szCs w:val="28"/>
        </w:rPr>
        <w:t>% в объеме налоговых и неналоговых доходов), налога на имущество (5,9 % в объеме налоговых и неналоговых доходов), а также за счет доходов от использования имущества, находящегося в мун</w:t>
      </w:r>
      <w:r w:rsidR="00836030">
        <w:rPr>
          <w:rFonts w:ascii="Times New Roman" w:hAnsi="Times New Roman" w:cs="Times New Roman"/>
          <w:sz w:val="28"/>
          <w:szCs w:val="28"/>
        </w:rPr>
        <w:t xml:space="preserve">иципальной собственности (14,4% </w:t>
      </w:r>
      <w:r w:rsidR="00730608">
        <w:rPr>
          <w:rFonts w:ascii="Times New Roman" w:hAnsi="Times New Roman" w:cs="Times New Roman"/>
          <w:sz w:val="28"/>
          <w:szCs w:val="28"/>
        </w:rPr>
        <w:t>в объеме н</w:t>
      </w:r>
      <w:r w:rsidR="00836030">
        <w:rPr>
          <w:rFonts w:ascii="Times New Roman" w:hAnsi="Times New Roman" w:cs="Times New Roman"/>
          <w:sz w:val="28"/>
          <w:szCs w:val="28"/>
        </w:rPr>
        <w:t>алоговых и неналоговых доходов), поступления по которым превысили</w:t>
      </w:r>
      <w:proofErr w:type="gramEnd"/>
      <w:r w:rsidR="00836030">
        <w:rPr>
          <w:rFonts w:ascii="Times New Roman" w:hAnsi="Times New Roman" w:cs="Times New Roman"/>
          <w:sz w:val="28"/>
          <w:szCs w:val="28"/>
        </w:rPr>
        <w:t xml:space="preserve"> утвержденные годовые бюджетные назначения и</w:t>
      </w:r>
      <w:r w:rsidR="00402C82">
        <w:rPr>
          <w:rFonts w:ascii="Times New Roman" w:hAnsi="Times New Roman" w:cs="Times New Roman"/>
          <w:sz w:val="28"/>
          <w:szCs w:val="28"/>
        </w:rPr>
        <w:t xml:space="preserve"> составили:</w:t>
      </w:r>
    </w:p>
    <w:p w:rsidR="007B6593" w:rsidRDefault="00402C82" w:rsidP="00EB2EB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– 626 505,55 тыс. руб.  и возросли по сравнению с 2011 годом на 22,8%, что связано с увеличением фонда заработной платы</w:t>
      </w:r>
      <w:r w:rsidR="007B6593">
        <w:rPr>
          <w:rFonts w:ascii="Times New Roman" w:hAnsi="Times New Roman" w:cs="Times New Roman"/>
          <w:sz w:val="28"/>
          <w:szCs w:val="28"/>
        </w:rPr>
        <w:t xml:space="preserve"> федеральных военнослужащих и работников образовательных учреждений (общего и дошкольного образования);</w:t>
      </w:r>
    </w:p>
    <w:p w:rsidR="00402C82" w:rsidRDefault="00402C82" w:rsidP="00EB2EB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– 53 145,86 тыс. руб. и возросли по сравнению с 2011 годом на 23,7%</w:t>
      </w:r>
      <w:r w:rsidR="00836030">
        <w:rPr>
          <w:rFonts w:ascii="Times New Roman" w:hAnsi="Times New Roman" w:cs="Times New Roman"/>
          <w:sz w:val="28"/>
          <w:szCs w:val="28"/>
        </w:rPr>
        <w:t xml:space="preserve"> за счет расширения налоговой базы;</w:t>
      </w:r>
    </w:p>
    <w:p w:rsidR="00836030" w:rsidRDefault="00836030" w:rsidP="00EB2EB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использования имущества, находящегося в муниципальной собственности – 129 045,75 тыс. руб. и возросли по сравнению с 2011 годом на 34,8%, что связано </w:t>
      </w:r>
      <w:r w:rsidR="007B6593">
        <w:rPr>
          <w:rFonts w:ascii="Times New Roman" w:hAnsi="Times New Roman" w:cs="Times New Roman"/>
          <w:sz w:val="28"/>
          <w:szCs w:val="28"/>
        </w:rPr>
        <w:t>с проведением разовых процедур по распоряжению имуществом.</w:t>
      </w:r>
    </w:p>
    <w:p w:rsidR="00402C82" w:rsidRDefault="00D81615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Политика в сфере бюджетных расходов в 2012 году обеспечила решение социальных и экономических задач округа.</w:t>
      </w:r>
    </w:p>
    <w:p w:rsidR="00D81615" w:rsidRDefault="00D81615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сумма расходов бюджета округа</w:t>
      </w:r>
      <w:r w:rsidR="007C41C9">
        <w:rPr>
          <w:rFonts w:ascii="Times New Roman" w:hAnsi="Times New Roman" w:cs="Times New Roman"/>
          <w:sz w:val="28"/>
          <w:szCs w:val="28"/>
        </w:rPr>
        <w:t xml:space="preserve"> в 2012 году составила 2 469 466,20 тыс. руб., или 90,6 % утвержденных годовых бюджетных назначений. </w:t>
      </w:r>
      <w:r w:rsidR="0066544D">
        <w:rPr>
          <w:rFonts w:ascii="Times New Roman" w:hAnsi="Times New Roman" w:cs="Times New Roman"/>
          <w:sz w:val="28"/>
          <w:szCs w:val="28"/>
        </w:rPr>
        <w:t>Снижение к уровню 2011 года составило 11%.</w:t>
      </w:r>
    </w:p>
    <w:p w:rsidR="0066544D" w:rsidRDefault="0066544D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Первоочередные социально</w:t>
      </w:r>
      <w:r w:rsidR="00EB2E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значимые расходы бюджета округа, включая социальные выплаты и заработную плату, профинансированы в полном объеме. Просроченная кредиторская задолженность по состоянию на 01 января 2013 года отсутствует.</w:t>
      </w:r>
    </w:p>
    <w:p w:rsidR="0066544D" w:rsidRDefault="009D5C2C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Социально-ориентированные отрасли – образование, культура, социальная политика, физическая культура и спорт – профинансированы в объеме </w:t>
      </w:r>
      <w:r w:rsidR="00141D69">
        <w:rPr>
          <w:rFonts w:ascii="Times New Roman" w:hAnsi="Times New Roman" w:cs="Times New Roman"/>
          <w:sz w:val="28"/>
          <w:szCs w:val="28"/>
        </w:rPr>
        <w:t>1 986 234,40 тыс. руб.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141D69">
        <w:rPr>
          <w:rFonts w:ascii="Times New Roman" w:hAnsi="Times New Roman" w:cs="Times New Roman"/>
          <w:sz w:val="28"/>
          <w:szCs w:val="28"/>
        </w:rPr>
        <w:t xml:space="preserve">90,5% </w:t>
      </w:r>
      <w:r>
        <w:rPr>
          <w:rFonts w:ascii="Times New Roman" w:hAnsi="Times New Roman" w:cs="Times New Roman"/>
          <w:sz w:val="28"/>
          <w:szCs w:val="28"/>
        </w:rPr>
        <w:t xml:space="preserve"> от годовых</w:t>
      </w:r>
      <w:r w:rsidR="00A633B1">
        <w:rPr>
          <w:rFonts w:ascii="Times New Roman" w:hAnsi="Times New Roman" w:cs="Times New Roman"/>
          <w:sz w:val="28"/>
          <w:szCs w:val="28"/>
        </w:rPr>
        <w:t xml:space="preserve"> бюджетных назначений. Доля расходов на эти направления в бюджете округа 2012 года составила </w:t>
      </w:r>
      <w:r w:rsidR="00141D69">
        <w:rPr>
          <w:rFonts w:ascii="Times New Roman" w:hAnsi="Times New Roman" w:cs="Times New Roman"/>
          <w:sz w:val="28"/>
          <w:szCs w:val="28"/>
        </w:rPr>
        <w:t>80,4%</w:t>
      </w:r>
      <w:r w:rsidR="00A633B1">
        <w:rPr>
          <w:rFonts w:ascii="Times New Roman" w:hAnsi="Times New Roman" w:cs="Times New Roman"/>
          <w:sz w:val="28"/>
          <w:szCs w:val="28"/>
        </w:rPr>
        <w:t>.</w:t>
      </w:r>
      <w:r w:rsidR="00A633B1">
        <w:rPr>
          <w:rFonts w:ascii="Times New Roman" w:hAnsi="Times New Roman" w:cs="Times New Roman"/>
          <w:sz w:val="28"/>
          <w:szCs w:val="28"/>
        </w:rPr>
        <w:tab/>
      </w:r>
    </w:p>
    <w:p w:rsidR="00A633B1" w:rsidRDefault="00A633B1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Указов Президента РФ в 2012 году с 1 октября и с 1 </w:t>
      </w:r>
      <w:r w:rsidR="00AD62C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происходило повышение средней заработной платы педагогических работников до среднего  по экономике области уровня </w:t>
      </w:r>
      <w:r w:rsidR="00DF3F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97">
        <w:rPr>
          <w:rFonts w:ascii="Times New Roman" w:hAnsi="Times New Roman" w:cs="Times New Roman"/>
          <w:sz w:val="28"/>
          <w:szCs w:val="28"/>
        </w:rPr>
        <w:t>до 23,4 тыс. руб.</w:t>
      </w:r>
      <w:r>
        <w:rPr>
          <w:rFonts w:ascii="Times New Roman" w:hAnsi="Times New Roman" w:cs="Times New Roman"/>
          <w:sz w:val="28"/>
          <w:szCs w:val="28"/>
        </w:rPr>
        <w:t xml:space="preserve">; работников дошкольных образовательных учреждений – до </w:t>
      </w:r>
      <w:r w:rsidR="00DF3F97">
        <w:rPr>
          <w:rFonts w:ascii="Times New Roman" w:hAnsi="Times New Roman" w:cs="Times New Roman"/>
          <w:sz w:val="28"/>
          <w:szCs w:val="28"/>
        </w:rPr>
        <w:t>16,5 тыс. руб.</w:t>
      </w:r>
    </w:p>
    <w:p w:rsidR="008F7ECA" w:rsidRDefault="00A633B1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развитие дорожного хозяйства направлено </w:t>
      </w:r>
      <w:r w:rsidR="00141D69">
        <w:rPr>
          <w:rFonts w:ascii="Times New Roman" w:hAnsi="Times New Roman" w:cs="Times New Roman"/>
          <w:sz w:val="28"/>
          <w:szCs w:val="28"/>
        </w:rPr>
        <w:t>62 849,71 тыс. руб.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141D69">
        <w:rPr>
          <w:rFonts w:ascii="Times New Roman" w:hAnsi="Times New Roman" w:cs="Times New Roman"/>
          <w:sz w:val="28"/>
          <w:szCs w:val="28"/>
        </w:rPr>
        <w:t>99,1 %</w:t>
      </w:r>
      <w:r>
        <w:rPr>
          <w:rFonts w:ascii="Times New Roman" w:hAnsi="Times New Roman" w:cs="Times New Roman"/>
          <w:sz w:val="28"/>
          <w:szCs w:val="28"/>
        </w:rPr>
        <w:t xml:space="preserve"> от годовых бюджетных назначений.  </w:t>
      </w:r>
    </w:p>
    <w:p w:rsidR="001C4B61" w:rsidRDefault="00EB2EBE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Жилищно-</w:t>
      </w:r>
      <w:r w:rsidR="001C4B61">
        <w:rPr>
          <w:rFonts w:ascii="Times New Roman" w:hAnsi="Times New Roman" w:cs="Times New Roman"/>
          <w:sz w:val="28"/>
          <w:szCs w:val="28"/>
        </w:rPr>
        <w:t xml:space="preserve">коммунальное хозяйство профинансировано в объеме </w:t>
      </w:r>
      <w:r w:rsidR="00141D69">
        <w:rPr>
          <w:rFonts w:ascii="Times New Roman" w:hAnsi="Times New Roman" w:cs="Times New Roman"/>
          <w:sz w:val="28"/>
          <w:szCs w:val="28"/>
        </w:rPr>
        <w:t>163 142 ,56 тыс. руб.</w:t>
      </w:r>
      <w:r w:rsidR="001C4B61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1D69">
        <w:rPr>
          <w:rFonts w:ascii="Times New Roman" w:hAnsi="Times New Roman" w:cs="Times New Roman"/>
          <w:sz w:val="28"/>
          <w:szCs w:val="28"/>
        </w:rPr>
        <w:t xml:space="preserve">94,3% </w:t>
      </w:r>
      <w:r w:rsidR="001C4B61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назначений. </w:t>
      </w:r>
    </w:p>
    <w:p w:rsidR="007B6593" w:rsidRDefault="000E6E91" w:rsidP="007B65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593" w:rsidRPr="00A73866">
        <w:rPr>
          <w:rFonts w:ascii="Times New Roman" w:hAnsi="Times New Roman" w:cs="Times New Roman"/>
          <w:sz w:val="28"/>
          <w:szCs w:val="28"/>
        </w:rPr>
        <w:t xml:space="preserve">В 2012 году в округе реализовано 22 долгосрочных </w:t>
      </w:r>
      <w:r w:rsidR="007B6593">
        <w:rPr>
          <w:rFonts w:ascii="Times New Roman" w:hAnsi="Times New Roman" w:cs="Times New Roman"/>
          <w:sz w:val="28"/>
          <w:szCs w:val="28"/>
        </w:rPr>
        <w:t xml:space="preserve">и 8 ведомственных целевых программы </w:t>
      </w:r>
      <w:r w:rsidR="007B6593" w:rsidRPr="00A73866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7B6593">
        <w:rPr>
          <w:rFonts w:ascii="Times New Roman" w:hAnsi="Times New Roman" w:cs="Times New Roman"/>
          <w:sz w:val="28"/>
          <w:szCs w:val="28"/>
        </w:rPr>
        <w:t>2 078 132,42</w:t>
      </w:r>
      <w:r w:rsidR="007B6593" w:rsidRPr="00A73866">
        <w:rPr>
          <w:rFonts w:ascii="Times New Roman" w:hAnsi="Times New Roman" w:cs="Times New Roman"/>
          <w:sz w:val="28"/>
          <w:szCs w:val="28"/>
        </w:rPr>
        <w:t xml:space="preserve"> тыс. руб., или 8</w:t>
      </w:r>
      <w:r w:rsidR="007B6593">
        <w:rPr>
          <w:rFonts w:ascii="Times New Roman" w:hAnsi="Times New Roman" w:cs="Times New Roman"/>
          <w:sz w:val="28"/>
          <w:szCs w:val="28"/>
        </w:rPr>
        <w:t>9</w:t>
      </w:r>
      <w:r w:rsidR="007B6593" w:rsidRPr="00A73866">
        <w:rPr>
          <w:rFonts w:ascii="Times New Roman" w:hAnsi="Times New Roman" w:cs="Times New Roman"/>
          <w:sz w:val="28"/>
          <w:szCs w:val="28"/>
        </w:rPr>
        <w:t>,</w:t>
      </w:r>
      <w:r w:rsidR="007B6593">
        <w:rPr>
          <w:rFonts w:ascii="Times New Roman" w:hAnsi="Times New Roman" w:cs="Times New Roman"/>
          <w:sz w:val="28"/>
          <w:szCs w:val="28"/>
        </w:rPr>
        <w:t>6</w:t>
      </w:r>
      <w:r w:rsidR="007B6593" w:rsidRPr="00A73866">
        <w:rPr>
          <w:rFonts w:ascii="Times New Roman" w:hAnsi="Times New Roman" w:cs="Times New Roman"/>
          <w:sz w:val="28"/>
          <w:szCs w:val="28"/>
        </w:rPr>
        <w:t>%  утвержденных бюджетных назначений.</w:t>
      </w:r>
    </w:p>
    <w:p w:rsidR="000E6E91" w:rsidRDefault="000E6E91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Долговая политика округа в 2012 году была направлена на </w:t>
      </w:r>
      <w:r w:rsidR="008747E8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долга, что </w:t>
      </w:r>
      <w:r w:rsidR="001657A4">
        <w:rPr>
          <w:rFonts w:ascii="Times New Roman" w:hAnsi="Times New Roman" w:cs="Times New Roman"/>
          <w:sz w:val="28"/>
          <w:szCs w:val="28"/>
        </w:rPr>
        <w:t xml:space="preserve">впервые за последние несколько лет </w:t>
      </w:r>
      <w:r>
        <w:rPr>
          <w:rFonts w:ascii="Times New Roman" w:hAnsi="Times New Roman" w:cs="Times New Roman"/>
          <w:sz w:val="28"/>
          <w:szCs w:val="28"/>
        </w:rPr>
        <w:t xml:space="preserve">привело к снижению его объема на 41 000,00 тыс. руб., в т. ч. долговые обязательства по кредитам, полученным от кредитных организаций, снизились на 35 000,00 тыс. руб., а по предоставленным муниципальным гарантиям </w:t>
      </w:r>
      <w:r w:rsidR="001657A4">
        <w:rPr>
          <w:rFonts w:ascii="Times New Roman" w:hAnsi="Times New Roman" w:cs="Times New Roman"/>
          <w:sz w:val="28"/>
          <w:szCs w:val="28"/>
        </w:rPr>
        <w:t xml:space="preserve">ММПКХ </w:t>
      </w:r>
      <w:r>
        <w:rPr>
          <w:rFonts w:ascii="Times New Roman" w:hAnsi="Times New Roman" w:cs="Times New Roman"/>
          <w:sz w:val="28"/>
          <w:szCs w:val="28"/>
        </w:rPr>
        <w:t>– на 6 000,00 тыс. руб.</w:t>
      </w:r>
      <w:proofErr w:type="gramEnd"/>
    </w:p>
    <w:p w:rsidR="001657A4" w:rsidRDefault="001657A4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2012 году МП «Куратор» продолж</w:t>
      </w:r>
      <w:r w:rsidR="00EB2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 возврат выданных ранее бюджетных кредитов. Возвращено в бюджет округа 11 699,00 тыс. руб., что превышает плановые показатели на 1 399,00 тыс. руб.</w:t>
      </w:r>
    </w:p>
    <w:p w:rsidR="001657A4" w:rsidRDefault="001657A4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выданных бюджетных кредитов по состоянию на 01 января 2013 </w:t>
      </w:r>
      <w:r w:rsidR="0083696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составил 339 685,36 тыс. руб.</w:t>
      </w:r>
    </w:p>
    <w:p w:rsidR="00C31CB5" w:rsidRDefault="00C31CB5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ECA" w:rsidRDefault="008F7ECA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5A5" w:rsidRDefault="00BE05A5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CB5" w:rsidRDefault="00C31CB5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968">
        <w:rPr>
          <w:rFonts w:ascii="Times New Roman" w:hAnsi="Times New Roman" w:cs="Times New Roman"/>
          <w:b/>
          <w:sz w:val="28"/>
          <w:szCs w:val="28"/>
        </w:rPr>
        <w:t>Участники публичных слушаний рекомендуют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CB5" w:rsidRDefault="00C31CB5" w:rsidP="00D65E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CB5" w:rsidRDefault="00C31CB5" w:rsidP="00D65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B5">
        <w:rPr>
          <w:rFonts w:ascii="Times New Roman" w:hAnsi="Times New Roman" w:cs="Times New Roman"/>
          <w:b/>
          <w:i/>
          <w:sz w:val="28"/>
          <w:szCs w:val="28"/>
        </w:rPr>
        <w:t>Собранию депутатов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и принять проект решения «Об исполнении бюджета Озерского городского округа за 2012 год».</w:t>
      </w:r>
    </w:p>
    <w:p w:rsidR="00AD5F1E" w:rsidRPr="00AD5F1E" w:rsidRDefault="00AD5F1E" w:rsidP="00AD5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CB5" w:rsidRDefault="00C31CB5" w:rsidP="00D65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B5">
        <w:rPr>
          <w:rFonts w:ascii="Times New Roman" w:hAnsi="Times New Roman" w:cs="Times New Roman"/>
          <w:b/>
          <w:i/>
          <w:sz w:val="28"/>
          <w:szCs w:val="28"/>
        </w:rPr>
        <w:t>Администрации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CB5" w:rsidRDefault="00C31CB5" w:rsidP="00D65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комиссии по сокращению задолженности налогоплательщиков по налогам и сборам в бюджетную систему РФ, в том числе в бюджет округа;</w:t>
      </w:r>
    </w:p>
    <w:p w:rsidR="00C31CB5" w:rsidRDefault="00C31CB5" w:rsidP="00D65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 межрайонной инспекции Федеральной налоговой службы № 3 по Челябинской области в размещении социальной рекламы, направленной на повышение налоговой культуры и грамотности жителей Озерского городского округа</w:t>
      </w:r>
      <w:r w:rsidR="00F841CD">
        <w:rPr>
          <w:rFonts w:ascii="Times New Roman" w:hAnsi="Times New Roman" w:cs="Times New Roman"/>
          <w:sz w:val="28"/>
          <w:szCs w:val="28"/>
        </w:rPr>
        <w:t>;</w:t>
      </w:r>
    </w:p>
    <w:p w:rsidR="00F841CD" w:rsidRPr="00F841CD" w:rsidRDefault="00F841CD" w:rsidP="00D65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CD">
        <w:rPr>
          <w:rFonts w:ascii="Times New Roman" w:hAnsi="Times New Roman" w:cs="Times New Roman"/>
          <w:sz w:val="28"/>
          <w:szCs w:val="28"/>
        </w:rPr>
        <w:t>принимать все меры по мобилизации внутренних резервов пополнения доходной части и предотвращению бюджетных потерь;</w:t>
      </w:r>
    </w:p>
    <w:p w:rsidR="00F841CD" w:rsidRPr="00F841CD" w:rsidRDefault="00F841CD" w:rsidP="00D65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CD">
        <w:rPr>
          <w:rFonts w:ascii="Times New Roman" w:hAnsi="Times New Roman" w:cs="Times New Roman"/>
          <w:sz w:val="28"/>
          <w:szCs w:val="28"/>
        </w:rPr>
        <w:t>проводить работу, направленную на уменьшение муниципальных заимствований;</w:t>
      </w:r>
    </w:p>
    <w:p w:rsidR="00F841CD" w:rsidRPr="00F841CD" w:rsidRDefault="00F841CD" w:rsidP="00F84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CD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F841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1CD">
        <w:rPr>
          <w:rFonts w:ascii="Times New Roman" w:hAnsi="Times New Roman" w:cs="Times New Roman"/>
          <w:sz w:val="28"/>
          <w:szCs w:val="28"/>
        </w:rPr>
        <w:t xml:space="preserve"> использованием и эффективным распоряжением муниципального имущества;</w:t>
      </w:r>
    </w:p>
    <w:p w:rsidR="00F841CD" w:rsidRPr="00F841CD" w:rsidRDefault="00F841CD" w:rsidP="00F84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CD">
        <w:rPr>
          <w:rFonts w:ascii="Times New Roman" w:hAnsi="Times New Roman" w:cs="Times New Roman"/>
          <w:sz w:val="28"/>
          <w:szCs w:val="28"/>
        </w:rPr>
        <w:t xml:space="preserve">проводить постоянную работу по погашению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841CD">
        <w:rPr>
          <w:rFonts w:ascii="Times New Roman" w:hAnsi="Times New Roman" w:cs="Times New Roman"/>
          <w:sz w:val="28"/>
          <w:szCs w:val="28"/>
        </w:rPr>
        <w:t>ранее выданны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41CD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41C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DF3F97" w:rsidRDefault="00DF3F97" w:rsidP="00DF3F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05A5" w:rsidRDefault="00BE05A5" w:rsidP="00DF3F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57E9" w:rsidRPr="000957E9" w:rsidRDefault="000957E9" w:rsidP="00D65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7E9">
        <w:rPr>
          <w:rFonts w:ascii="Times New Roman" w:hAnsi="Times New Roman" w:cs="Times New Roman"/>
          <w:b/>
          <w:i/>
          <w:sz w:val="28"/>
          <w:szCs w:val="28"/>
        </w:rPr>
        <w:t>Главным администраторам доходов бюджета Озерского городского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57E9" w:rsidRDefault="000957E9" w:rsidP="00D65E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7E9">
        <w:rPr>
          <w:rFonts w:ascii="Times New Roman" w:hAnsi="Times New Roman" w:cs="Times New Roman"/>
          <w:sz w:val="28"/>
          <w:szCs w:val="28"/>
        </w:rPr>
        <w:t>принять меры по обеспечению полноты взыскания имеющейся и недопущения задолженности по закреплен</w:t>
      </w:r>
      <w:r>
        <w:rPr>
          <w:rFonts w:ascii="Times New Roman" w:hAnsi="Times New Roman" w:cs="Times New Roman"/>
          <w:sz w:val="28"/>
          <w:szCs w:val="28"/>
        </w:rPr>
        <w:t>ным за ними неналоговым доходам;</w:t>
      </w:r>
    </w:p>
    <w:p w:rsidR="000957E9" w:rsidRDefault="00BE05A5" w:rsidP="00D65E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планирование неналоговых доходов и обеспечить выполнение запланированных показателей</w:t>
      </w:r>
    </w:p>
    <w:p w:rsidR="008F7ECA" w:rsidRDefault="008F7ECA" w:rsidP="008F7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05A5" w:rsidRDefault="00BE05A5" w:rsidP="008F7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F1E" w:rsidRDefault="00AD5F1E" w:rsidP="008F7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F1E" w:rsidRDefault="00AD5F1E" w:rsidP="008F7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F1E" w:rsidRDefault="00AD5F1E" w:rsidP="008F7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1CB5" w:rsidRDefault="000957E9" w:rsidP="00D65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7E9">
        <w:rPr>
          <w:rFonts w:ascii="Times New Roman" w:hAnsi="Times New Roman" w:cs="Times New Roman"/>
          <w:b/>
          <w:i/>
          <w:sz w:val="28"/>
          <w:szCs w:val="28"/>
        </w:rPr>
        <w:lastRenderedPageBreak/>
        <w:t>Главным распорядителям бюджетных средств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7E9" w:rsidRDefault="000957E9" w:rsidP="00D65E08">
      <w:pPr>
        <w:pStyle w:val="a3"/>
        <w:numPr>
          <w:ilvl w:val="0"/>
          <w:numId w:val="8"/>
        </w:numPr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разработку и утверждение 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программ по 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перехода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0957E9" w:rsidRDefault="000957E9" w:rsidP="00D65E08">
      <w:pPr>
        <w:pStyle w:val="a3"/>
        <w:numPr>
          <w:ilvl w:val="0"/>
          <w:numId w:val="8"/>
        </w:numPr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</w:t>
      </w:r>
      <w:r w:rsidR="00836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также роста дебиторской задолженности;</w:t>
      </w:r>
    </w:p>
    <w:p w:rsidR="000957E9" w:rsidRDefault="0058171D" w:rsidP="00D65E08">
      <w:pPr>
        <w:pStyle w:val="a3"/>
        <w:numPr>
          <w:ilvl w:val="0"/>
          <w:numId w:val="8"/>
        </w:numPr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09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формирования муниципальных заданий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оказания </w:t>
      </w:r>
      <w:r w:rsidR="00095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населению округа;</w:t>
      </w:r>
    </w:p>
    <w:p w:rsidR="000957E9" w:rsidRDefault="000957E9" w:rsidP="00D65E08">
      <w:pPr>
        <w:pStyle w:val="a3"/>
        <w:numPr>
          <w:ilvl w:val="0"/>
          <w:numId w:val="8"/>
        </w:numPr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по эффективному </w:t>
      </w:r>
      <w:r w:rsidR="00836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округа, в том числе за счет 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r w:rsidR="00581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сети </w:t>
      </w:r>
      <w:r w:rsidR="00E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учреждений и их </w:t>
      </w:r>
      <w:r w:rsidR="0083696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штатной ч</w:t>
      </w:r>
      <w:r w:rsidR="00A1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исленности;</w:t>
      </w:r>
    </w:p>
    <w:p w:rsidR="00A11991" w:rsidRDefault="00A11991" w:rsidP="00A1199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полное и своевременное освоение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</w:t>
      </w:r>
      <w:r w:rsidRPr="00A1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межбюджетных трансфертов из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и областного бюджетов,</w:t>
      </w:r>
      <w:r w:rsidRPr="00A1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своевременное предоставление и корректировку исходных данных для их расчета;</w:t>
      </w:r>
    </w:p>
    <w:p w:rsidR="00A11991" w:rsidRPr="00A11991" w:rsidRDefault="00A11991" w:rsidP="00A1199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A1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главными распорядителями средств областного бюджета по включению округа в областные </w:t>
      </w:r>
      <w:r w:rsidR="00101F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федеральные целевые программы.</w:t>
      </w:r>
    </w:p>
    <w:p w:rsidR="00836968" w:rsidRPr="00836968" w:rsidRDefault="00836968" w:rsidP="00D65E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E9" w:rsidRDefault="00836968" w:rsidP="00D65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68">
        <w:rPr>
          <w:rFonts w:ascii="Times New Roman" w:hAnsi="Times New Roman" w:cs="Times New Roman"/>
          <w:b/>
          <w:i/>
          <w:sz w:val="28"/>
          <w:szCs w:val="28"/>
        </w:rPr>
        <w:t>Контрольному бюро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исполнение утвержденного плана работы на 2013 год.</w:t>
      </w:r>
    </w:p>
    <w:p w:rsidR="00F841CD" w:rsidRDefault="00F841CD" w:rsidP="00F84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968" w:rsidRDefault="00F841CD" w:rsidP="00F84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CD">
        <w:rPr>
          <w:rFonts w:ascii="Times New Roman" w:hAnsi="Times New Roman" w:cs="Times New Roman"/>
          <w:b/>
          <w:i/>
          <w:sz w:val="28"/>
          <w:szCs w:val="28"/>
        </w:rPr>
        <w:t>Межрайонной инспекции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41CD" w:rsidRDefault="00F841CD" w:rsidP="00F84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предусмотренных действующим законодательством мер по обеспечению полноты взыскания имеющейся задолженности по платежам в бюджетную систему РФ, в том числе в бюджет округа, активно используя возможности взаимодействия с органами местного самоуправления;</w:t>
      </w:r>
    </w:p>
    <w:p w:rsidR="00F841CD" w:rsidRPr="00F841CD" w:rsidRDefault="00F841CD" w:rsidP="00F84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комплексных мероприятий по легализации налоговой базы по налогу на доходы физических лиц и налогу на прибыль</w:t>
      </w:r>
      <w:r w:rsidR="000E024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841CD" w:rsidRDefault="00F841CD" w:rsidP="00D65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F1E" w:rsidRPr="00836968" w:rsidRDefault="00AD5F1E" w:rsidP="00D65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968" w:rsidRDefault="00836968" w:rsidP="00D65E0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Руководителям организаций, индивидуальным предпринимателям и физическим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налогоплательщиками на территории Озерского городского округа, обеспечить строгое соблюдение налогового законодательства РФ по своевременному и полному перечислению налогов и сборов в бюджетную систему РФ, в том числе в областной бюджет и бюджет округа, а также погашение имеющейся задолженности.</w:t>
      </w:r>
      <w:proofErr w:type="gramEnd"/>
    </w:p>
    <w:p w:rsidR="00836968" w:rsidRDefault="00836968" w:rsidP="00D65E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68" w:rsidRDefault="00836968" w:rsidP="00D65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рекомендации приняты 15 мая 2013 года.</w:t>
      </w:r>
    </w:p>
    <w:p w:rsidR="0058171D" w:rsidRDefault="0058171D" w:rsidP="00D65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968" w:rsidRPr="0081760E" w:rsidRDefault="00836968" w:rsidP="0083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планово- </w:t>
      </w:r>
      <w:proofErr w:type="gramStart"/>
      <w:r w:rsidRPr="0081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proofErr w:type="gramEnd"/>
    </w:p>
    <w:p w:rsidR="00836968" w:rsidRPr="0081760E" w:rsidRDefault="00836968" w:rsidP="0083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Собрания депутатов </w:t>
      </w:r>
    </w:p>
    <w:p w:rsidR="00836968" w:rsidRPr="0081760E" w:rsidRDefault="00836968" w:rsidP="0083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городского округа,</w:t>
      </w:r>
    </w:p>
    <w:p w:rsidR="00836968" w:rsidRPr="0081760E" w:rsidRDefault="00836968" w:rsidP="0083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552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Г.Р. Полетаев</w:t>
      </w:r>
    </w:p>
    <w:p w:rsidR="00A552FF" w:rsidRDefault="00A552FF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FF" w:rsidRDefault="00A552FF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A552FF" w:rsidRDefault="00A552FF" w:rsidP="00A552FF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городского округа       </w:t>
      </w:r>
      <w:r w:rsidR="000E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D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Уланова</w:t>
      </w: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экономики,</w:t>
      </w: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и отчетности </w:t>
      </w: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Собрания депутатов      _______________       </w:t>
      </w:r>
      <w:r w:rsidR="00AD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М.А. Красникова</w:t>
      </w: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68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</w:t>
      </w:r>
    </w:p>
    <w:p w:rsidR="000E0246" w:rsidRDefault="00836968" w:rsidP="0083696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Собрания депутатов      ________________              </w:t>
      </w:r>
      <w:r w:rsidR="00A552FF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Гребнева</w:t>
      </w:r>
    </w:p>
    <w:p w:rsidR="000E0246" w:rsidRDefault="000E0246" w:rsidP="000E02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46" w:rsidRDefault="000E0246" w:rsidP="000E02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Общественной палаты </w:t>
      </w:r>
    </w:p>
    <w:p w:rsidR="00836968" w:rsidRPr="000E0246" w:rsidRDefault="000E0246" w:rsidP="000E024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городского округа           ________________             Л.С. Морозова</w:t>
      </w:r>
    </w:p>
    <w:sectPr w:rsidR="00836968" w:rsidRPr="000E024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3DB"/>
    <w:multiLevelType w:val="hybridMultilevel"/>
    <w:tmpl w:val="3F5C07EE"/>
    <w:lvl w:ilvl="0" w:tplc="FF24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31C87"/>
    <w:multiLevelType w:val="hybridMultilevel"/>
    <w:tmpl w:val="ADAAE4BC"/>
    <w:lvl w:ilvl="0" w:tplc="95766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6311A"/>
    <w:multiLevelType w:val="hybridMultilevel"/>
    <w:tmpl w:val="C11CD1AC"/>
    <w:lvl w:ilvl="0" w:tplc="3D20713E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45517"/>
    <w:multiLevelType w:val="hybridMultilevel"/>
    <w:tmpl w:val="D952C112"/>
    <w:lvl w:ilvl="0" w:tplc="2A742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8340C"/>
    <w:multiLevelType w:val="hybridMultilevel"/>
    <w:tmpl w:val="CD76B622"/>
    <w:lvl w:ilvl="0" w:tplc="88EAD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771C9D"/>
    <w:multiLevelType w:val="hybridMultilevel"/>
    <w:tmpl w:val="AAE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C4D41"/>
    <w:multiLevelType w:val="hybridMultilevel"/>
    <w:tmpl w:val="681EC7A0"/>
    <w:lvl w:ilvl="0" w:tplc="FF24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12016"/>
    <w:multiLevelType w:val="hybridMultilevel"/>
    <w:tmpl w:val="79064870"/>
    <w:lvl w:ilvl="0" w:tplc="FF24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F7C36"/>
    <w:multiLevelType w:val="hybridMultilevel"/>
    <w:tmpl w:val="C3FAE2B4"/>
    <w:lvl w:ilvl="0" w:tplc="FF24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F3"/>
    <w:rsid w:val="000957E9"/>
    <w:rsid w:val="000E0246"/>
    <w:rsid w:val="000E6E91"/>
    <w:rsid w:val="00101F10"/>
    <w:rsid w:val="00141D69"/>
    <w:rsid w:val="00162EB0"/>
    <w:rsid w:val="001657A4"/>
    <w:rsid w:val="001C4B61"/>
    <w:rsid w:val="00216BC9"/>
    <w:rsid w:val="00287EEE"/>
    <w:rsid w:val="002A4B99"/>
    <w:rsid w:val="00402C82"/>
    <w:rsid w:val="00524EC8"/>
    <w:rsid w:val="0058171D"/>
    <w:rsid w:val="005D36DE"/>
    <w:rsid w:val="00617D17"/>
    <w:rsid w:val="0066544D"/>
    <w:rsid w:val="00730608"/>
    <w:rsid w:val="007B6593"/>
    <w:rsid w:val="007C41C9"/>
    <w:rsid w:val="007F3CD7"/>
    <w:rsid w:val="00836030"/>
    <w:rsid w:val="00836968"/>
    <w:rsid w:val="008747E8"/>
    <w:rsid w:val="008A15B1"/>
    <w:rsid w:val="008F7ECA"/>
    <w:rsid w:val="0096040C"/>
    <w:rsid w:val="009D5C2C"/>
    <w:rsid w:val="00A11991"/>
    <w:rsid w:val="00A552FF"/>
    <w:rsid w:val="00A633B1"/>
    <w:rsid w:val="00AD5F1E"/>
    <w:rsid w:val="00AD62CD"/>
    <w:rsid w:val="00AE45F3"/>
    <w:rsid w:val="00BE05A5"/>
    <w:rsid w:val="00C31CB5"/>
    <w:rsid w:val="00C932A7"/>
    <w:rsid w:val="00D05B9D"/>
    <w:rsid w:val="00D65E08"/>
    <w:rsid w:val="00D81615"/>
    <w:rsid w:val="00DF3F97"/>
    <w:rsid w:val="00E803FE"/>
    <w:rsid w:val="00EB2EBE"/>
    <w:rsid w:val="00F24DA0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B5"/>
    <w:pPr>
      <w:ind w:left="720"/>
      <w:contextualSpacing/>
    </w:pPr>
  </w:style>
  <w:style w:type="paragraph" w:customStyle="1" w:styleId="1">
    <w:name w:val="Знак1"/>
    <w:basedOn w:val="a"/>
    <w:rsid w:val="00F841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D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B5"/>
    <w:pPr>
      <w:ind w:left="720"/>
      <w:contextualSpacing/>
    </w:pPr>
  </w:style>
  <w:style w:type="paragraph" w:customStyle="1" w:styleId="1">
    <w:name w:val="Знак1"/>
    <w:basedOn w:val="a"/>
    <w:rsid w:val="00F841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D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2013-05-17T04:49:00Z</cp:lastPrinted>
  <dcterms:created xsi:type="dcterms:W3CDTF">2013-04-25T08:51:00Z</dcterms:created>
  <dcterms:modified xsi:type="dcterms:W3CDTF">2013-05-17T04:50:00Z</dcterms:modified>
</cp:coreProperties>
</file>