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E16831" w:rsidRPr="00E16831" w:rsidRDefault="00704BBA" w:rsidP="00BB6BD7">
      <w:pPr>
        <w:pStyle w:val="61"/>
        <w:jc w:val="center"/>
        <w:rPr>
          <w:b/>
        </w:rPr>
      </w:pPr>
      <w:r w:rsidRPr="00704BBA">
        <w:rPr>
          <w:b/>
        </w:rPr>
        <w:t xml:space="preserve">в </w:t>
      </w:r>
      <w:r w:rsidR="00BB6BD7" w:rsidRPr="00BB6BD7">
        <w:rPr>
          <w:b/>
        </w:rPr>
        <w:t>Муниципальном бюджетном учреждении Озерского городского округа театр кукол «Золотой петушок»</w:t>
      </w:r>
      <w:r w:rsidR="00E16831" w:rsidRPr="00E16831">
        <w:rPr>
          <w:b/>
        </w:rPr>
        <w:t xml:space="preserve"> </w:t>
      </w:r>
    </w:p>
    <w:p w:rsidR="00704BBA" w:rsidRPr="00704BBA" w:rsidRDefault="00E16831" w:rsidP="00E16831">
      <w:pPr>
        <w:pStyle w:val="61"/>
        <w:jc w:val="center"/>
        <w:rPr>
          <w:b/>
        </w:rPr>
      </w:pPr>
      <w:r w:rsidRPr="00E16831">
        <w:rPr>
          <w:b/>
        </w:rPr>
        <w:t xml:space="preserve"> </w:t>
      </w:r>
      <w:r w:rsidR="00704BBA">
        <w:rPr>
          <w:b/>
        </w:rPr>
        <w:t xml:space="preserve">(акт от </w:t>
      </w:r>
      <w:r w:rsidR="00E253D9">
        <w:rPr>
          <w:b/>
        </w:rPr>
        <w:t>25</w:t>
      </w:r>
      <w:r>
        <w:rPr>
          <w:b/>
        </w:rPr>
        <w:t>.</w:t>
      </w:r>
      <w:r w:rsidR="00BB6BD7" w:rsidRPr="00BB6BD7">
        <w:rPr>
          <w:b/>
        </w:rPr>
        <w:t>01</w:t>
      </w:r>
      <w:r>
        <w:rPr>
          <w:b/>
        </w:rPr>
        <w:t>.202</w:t>
      </w:r>
      <w:r w:rsidR="00BB6BD7" w:rsidRPr="00BB6BD7">
        <w:rPr>
          <w:b/>
        </w:rPr>
        <w:t>3</w:t>
      </w:r>
      <w:r w:rsidR="00704BBA">
        <w:rPr>
          <w:b/>
        </w:rPr>
        <w:t xml:space="preserve"> №</w:t>
      </w:r>
      <w:r w:rsidR="00E253D9">
        <w:rPr>
          <w:b/>
        </w:rPr>
        <w:t>1</w:t>
      </w:r>
      <w:r w:rsidR="00704BBA">
        <w:rPr>
          <w:b/>
        </w:rPr>
        <w:t>)</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BB6BD7">
        <w:rPr>
          <w:szCs w:val="28"/>
        </w:rPr>
        <w:t>главным инспектором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BB6BD7">
        <w:rPr>
          <w:szCs w:val="28"/>
        </w:rPr>
        <w:t>Семеновой Т.А.</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634B61">
        <w:rPr>
          <w:szCs w:val="28"/>
        </w:rPr>
        <w:t>11</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D94BE7">
        <w:rPr>
          <w:szCs w:val="28"/>
        </w:rPr>
        <w:t xml:space="preserve">2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D938BF" w:rsidRPr="00A54A60" w:rsidRDefault="00D8384F" w:rsidP="004D75EB">
      <w:pPr>
        <w:ind w:firstLine="709"/>
        <w:jc w:val="both"/>
        <w:rPr>
          <w:sz w:val="28"/>
          <w:szCs w:val="28"/>
        </w:rPr>
      </w:pPr>
      <w:r>
        <w:rPr>
          <w:sz w:val="28"/>
        </w:rPr>
        <w:t>распоряжение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D938BF" w:rsidRPr="00A54A60">
        <w:rPr>
          <w:sz w:val="28"/>
        </w:rPr>
        <w:t xml:space="preserve">от </w:t>
      </w:r>
      <w:r w:rsidR="00634B61">
        <w:rPr>
          <w:sz w:val="28"/>
        </w:rPr>
        <w:t>29.11.2022</w:t>
      </w:r>
      <w:r w:rsidR="00D938BF" w:rsidRPr="00A54A60">
        <w:rPr>
          <w:sz w:val="28"/>
          <w:szCs w:val="28"/>
        </w:rPr>
        <w:t xml:space="preserve"> № </w:t>
      </w:r>
      <w:r w:rsidR="00634B61">
        <w:rPr>
          <w:sz w:val="28"/>
          <w:szCs w:val="28"/>
        </w:rPr>
        <w:t>73</w:t>
      </w:r>
      <w:r w:rsidR="00D938BF" w:rsidRPr="00A54A60">
        <w:rPr>
          <w:sz w:val="28"/>
          <w:szCs w:val="28"/>
        </w:rPr>
        <w:t>.</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E253D9" w:rsidRDefault="00E253D9" w:rsidP="004D75EB">
      <w:pPr>
        <w:pStyle w:val="8"/>
        <w:ind w:firstLine="709"/>
        <w:rPr>
          <w:lang w:eastAsia="ru-RU"/>
        </w:rPr>
      </w:pPr>
      <w:r>
        <w:rPr>
          <w:lang w:eastAsia="ru-RU"/>
        </w:rPr>
        <w:t>Проверка законности и эффективности использования бюджетных средств за 2021 год и текущий период 2022 года.</w:t>
      </w:r>
    </w:p>
    <w:p w:rsidR="00E253D9" w:rsidRDefault="00E253D9" w:rsidP="004D75EB">
      <w:pPr>
        <w:pStyle w:val="8"/>
        <w:ind w:firstLine="709"/>
        <w:rPr>
          <w:lang w:eastAsia="ru-RU"/>
        </w:rPr>
      </w:pPr>
      <w:r>
        <w:rPr>
          <w:lang w:eastAsia="ru-RU"/>
        </w:rPr>
        <w:t>Проверка соблюдения установленного порядка формирования, управления и распоряжения муниципальной собственностью за 2021 год и текущий период 2022 года.</w:t>
      </w:r>
    </w:p>
    <w:p w:rsidR="00D938BF" w:rsidRDefault="00D938BF" w:rsidP="004D75EB">
      <w:pPr>
        <w:pStyle w:val="8"/>
        <w:ind w:firstLine="709"/>
      </w:pPr>
      <w:r w:rsidRPr="00D938BF">
        <w:rPr>
          <w:u w:val="single"/>
        </w:rPr>
        <w:t>Проверяемый период</w:t>
      </w:r>
      <w:r w:rsidR="00E7081F" w:rsidRPr="00D938BF">
        <w:rPr>
          <w:u w:val="single"/>
        </w:rPr>
        <w:t>:</w:t>
      </w:r>
      <w:r w:rsidR="00E7081F" w:rsidRPr="002A4310">
        <w:t xml:space="preserve"> </w:t>
      </w:r>
      <w:r w:rsidRPr="00C73117">
        <w:t>с 01.01.20</w:t>
      </w:r>
      <w:r>
        <w:t>21</w:t>
      </w:r>
      <w:r w:rsidRPr="00C73117">
        <w:t xml:space="preserve"> по текущий период </w:t>
      </w:r>
      <w:r>
        <w:t>2022</w:t>
      </w:r>
      <w:r w:rsidRPr="00C73117">
        <w:t xml:space="preserve"> года</w:t>
      </w:r>
      <w:r>
        <w:t>.</w:t>
      </w:r>
    </w:p>
    <w:p w:rsidR="00517725" w:rsidRDefault="00D079C1" w:rsidP="004D75EB">
      <w:pPr>
        <w:tabs>
          <w:tab w:val="left" w:pos="567"/>
        </w:tabs>
        <w:ind w:firstLine="709"/>
        <w:jc w:val="both"/>
        <w:rPr>
          <w:sz w:val="28"/>
          <w:szCs w:val="28"/>
        </w:rPr>
      </w:pPr>
      <w:r w:rsidRPr="00D851D5">
        <w:rPr>
          <w:sz w:val="28"/>
          <w:szCs w:val="28"/>
        </w:rPr>
        <w:t>В соответствии с программой контрольного</w:t>
      </w:r>
      <w:r>
        <w:rPr>
          <w:sz w:val="28"/>
          <w:szCs w:val="28"/>
        </w:rPr>
        <w:t xml:space="preserve">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972D30">
        <w:rPr>
          <w:sz w:val="28"/>
          <w:szCs w:val="28"/>
        </w:rPr>
        <w:t>51 227,</w:t>
      </w:r>
      <w:proofErr w:type="gramStart"/>
      <w:r w:rsidR="00972D30">
        <w:rPr>
          <w:sz w:val="28"/>
          <w:szCs w:val="28"/>
        </w:rPr>
        <w:t>0</w:t>
      </w:r>
      <w:r w:rsidR="008B0AEA">
        <w:rPr>
          <w:sz w:val="28"/>
          <w:szCs w:val="28"/>
        </w:rPr>
        <w:t xml:space="preserve"> </w:t>
      </w:r>
      <w:r w:rsidR="00143299" w:rsidRPr="00E177B3">
        <w:rPr>
          <w:sz w:val="28"/>
          <w:szCs w:val="28"/>
        </w:rPr>
        <w:t xml:space="preserve"> тыс.</w:t>
      </w:r>
      <w:proofErr w:type="gramEnd"/>
      <w:r w:rsidR="00143299" w:rsidRPr="00E177B3">
        <w:rPr>
          <w:sz w:val="28"/>
          <w:szCs w:val="28"/>
        </w:rPr>
        <w:t> рублей</w:t>
      </w:r>
      <w:r w:rsidR="008B0AEA">
        <w:rPr>
          <w:sz w:val="28"/>
          <w:szCs w:val="28"/>
        </w:rPr>
        <w:t>.</w:t>
      </w:r>
    </w:p>
    <w:p w:rsidR="00095357" w:rsidRPr="008B0AEA" w:rsidRDefault="00095357" w:rsidP="004D75EB">
      <w:pPr>
        <w:tabs>
          <w:tab w:val="left" w:pos="567"/>
        </w:tabs>
        <w:ind w:firstLine="709"/>
        <w:jc w:val="both"/>
        <w:rPr>
          <w:sz w:val="28"/>
          <w:szCs w:val="28"/>
          <w:u w:val="single"/>
        </w:rPr>
      </w:pPr>
      <w:r w:rsidRPr="008B0AEA">
        <w:rPr>
          <w:sz w:val="28"/>
          <w:szCs w:val="28"/>
          <w:u w:val="single"/>
        </w:rPr>
        <w:t>В ходе контрольного мероприятия установлено</w:t>
      </w:r>
      <w:r w:rsidR="007A7EEC">
        <w:rPr>
          <w:sz w:val="28"/>
          <w:szCs w:val="28"/>
          <w:u w:val="single"/>
        </w:rPr>
        <w:t>:</w:t>
      </w:r>
    </w:p>
    <w:p w:rsidR="009B15F7" w:rsidRDefault="005059CB" w:rsidP="004D75EB">
      <w:pPr>
        <w:ind w:firstLine="709"/>
        <w:jc w:val="both"/>
        <w:rPr>
          <w:sz w:val="28"/>
          <w:szCs w:val="28"/>
        </w:rPr>
      </w:pPr>
      <w:r w:rsidRPr="006B107B">
        <w:rPr>
          <w:i/>
          <w:sz w:val="28"/>
          <w:szCs w:val="28"/>
          <w:u w:val="single"/>
        </w:rPr>
        <w:t>- 17</w:t>
      </w:r>
      <w:r w:rsidR="00BA48CC" w:rsidRPr="006B107B">
        <w:rPr>
          <w:i/>
          <w:sz w:val="28"/>
          <w:szCs w:val="28"/>
          <w:u w:val="single"/>
        </w:rPr>
        <w:t xml:space="preserve"> нарушени</w:t>
      </w:r>
      <w:r w:rsidR="00972D30">
        <w:rPr>
          <w:i/>
          <w:sz w:val="28"/>
          <w:szCs w:val="28"/>
          <w:u w:val="single"/>
        </w:rPr>
        <w:t>й</w:t>
      </w:r>
      <w:r w:rsidR="00BA48CC" w:rsidRPr="006B107B">
        <w:rPr>
          <w:i/>
          <w:sz w:val="28"/>
          <w:szCs w:val="28"/>
          <w:u w:val="single"/>
        </w:rPr>
        <w:t xml:space="preserve"> по неэффективному использованию б</w:t>
      </w:r>
      <w:r w:rsidR="00293C32" w:rsidRPr="006B107B">
        <w:rPr>
          <w:i/>
          <w:sz w:val="28"/>
          <w:szCs w:val="28"/>
          <w:u w:val="single"/>
        </w:rPr>
        <w:t>юджетных средств (</w:t>
      </w:r>
      <w:r w:rsidRPr="006B107B">
        <w:rPr>
          <w:i/>
          <w:sz w:val="28"/>
          <w:szCs w:val="28"/>
          <w:u w:val="single"/>
        </w:rPr>
        <w:t>96,6</w:t>
      </w:r>
      <w:r w:rsidR="00293C32" w:rsidRPr="006B107B">
        <w:rPr>
          <w:i/>
          <w:sz w:val="28"/>
          <w:szCs w:val="28"/>
          <w:u w:val="single"/>
        </w:rPr>
        <w:t xml:space="preserve"> </w:t>
      </w:r>
      <w:proofErr w:type="spellStart"/>
      <w:r w:rsidR="00293C32" w:rsidRPr="006B107B">
        <w:rPr>
          <w:i/>
          <w:sz w:val="28"/>
          <w:szCs w:val="28"/>
          <w:u w:val="single"/>
        </w:rPr>
        <w:t>тыс.руб</w:t>
      </w:r>
      <w:r w:rsidR="009F6E42">
        <w:rPr>
          <w:i/>
          <w:sz w:val="28"/>
          <w:szCs w:val="28"/>
          <w:u w:val="single"/>
        </w:rPr>
        <w:t>лей</w:t>
      </w:r>
      <w:proofErr w:type="spellEnd"/>
      <w:r w:rsidR="00CA1D25" w:rsidRPr="006B107B">
        <w:rPr>
          <w:i/>
          <w:sz w:val="28"/>
          <w:szCs w:val="28"/>
          <w:u w:val="single"/>
        </w:rPr>
        <w:t>)</w:t>
      </w:r>
      <w:r w:rsidR="00CA1D25" w:rsidRPr="006B107B">
        <w:rPr>
          <w:sz w:val="28"/>
          <w:szCs w:val="28"/>
        </w:rPr>
        <w:t xml:space="preserve"> - </w:t>
      </w:r>
      <w:r w:rsidR="00A32120" w:rsidRPr="006B107B">
        <w:rPr>
          <w:sz w:val="28"/>
          <w:szCs w:val="28"/>
        </w:rPr>
        <w:t xml:space="preserve">начисление и выплата заработной платы работникам без учета отработанного времени, ниже минимального размера оплаты труда, и в дни, когда работники фактически отсутствовали на рабочем месте; несоблюдение норм статьи 153 ТК РФ при оплате работникам праздничных и выходных дней; неправомерно осуществлялась выплата за выслугу лет работнику, работающему на условиях внешнего совместительства; </w:t>
      </w:r>
    </w:p>
    <w:p w:rsidR="009B15F7" w:rsidRDefault="008675E3" w:rsidP="004D75EB">
      <w:pPr>
        <w:ind w:firstLine="709"/>
        <w:jc w:val="both"/>
        <w:rPr>
          <w:sz w:val="28"/>
          <w:szCs w:val="28"/>
        </w:rPr>
      </w:pPr>
      <w:r w:rsidRPr="006B107B">
        <w:rPr>
          <w:i/>
          <w:sz w:val="28"/>
          <w:szCs w:val="28"/>
          <w:u w:val="single"/>
        </w:rPr>
        <w:t>-</w:t>
      </w:r>
      <w:r w:rsidR="00BA48CC" w:rsidRPr="006B107B">
        <w:rPr>
          <w:i/>
          <w:sz w:val="28"/>
          <w:szCs w:val="28"/>
          <w:u w:val="single"/>
        </w:rPr>
        <w:t xml:space="preserve"> </w:t>
      </w:r>
      <w:r w:rsidRPr="006B107B">
        <w:rPr>
          <w:i/>
          <w:sz w:val="28"/>
          <w:szCs w:val="28"/>
          <w:u w:val="single"/>
        </w:rPr>
        <w:t>3</w:t>
      </w:r>
      <w:r w:rsidR="00BA48CC" w:rsidRPr="006B107B">
        <w:rPr>
          <w:i/>
          <w:sz w:val="28"/>
          <w:szCs w:val="28"/>
          <w:u w:val="single"/>
        </w:rPr>
        <w:t xml:space="preserve"> нарушения по неправомерному расходованию бюджетных средств (</w:t>
      </w:r>
      <w:r w:rsidRPr="006B107B">
        <w:rPr>
          <w:i/>
          <w:sz w:val="28"/>
          <w:szCs w:val="28"/>
          <w:u w:val="single"/>
        </w:rPr>
        <w:t>357,9</w:t>
      </w:r>
      <w:r w:rsidR="00BA48CC" w:rsidRPr="006B107B">
        <w:rPr>
          <w:i/>
          <w:sz w:val="28"/>
          <w:szCs w:val="28"/>
          <w:u w:val="single"/>
        </w:rPr>
        <w:t xml:space="preserve"> </w:t>
      </w:r>
      <w:proofErr w:type="spellStart"/>
      <w:r w:rsidR="00BA48CC" w:rsidRPr="006B107B">
        <w:rPr>
          <w:i/>
          <w:sz w:val="28"/>
          <w:szCs w:val="28"/>
          <w:u w:val="single"/>
        </w:rPr>
        <w:t>тыс.рублей</w:t>
      </w:r>
      <w:proofErr w:type="spellEnd"/>
      <w:r w:rsidR="00BA48CC" w:rsidRPr="006B107B">
        <w:rPr>
          <w:i/>
          <w:sz w:val="28"/>
          <w:szCs w:val="28"/>
          <w:u w:val="single"/>
        </w:rPr>
        <w:t>)</w:t>
      </w:r>
      <w:r w:rsidR="00B1254C" w:rsidRPr="006B107B">
        <w:rPr>
          <w:i/>
          <w:sz w:val="28"/>
          <w:szCs w:val="28"/>
          <w:u w:val="single"/>
        </w:rPr>
        <w:t xml:space="preserve"> </w:t>
      </w:r>
      <w:r w:rsidR="006A33E5">
        <w:rPr>
          <w:sz w:val="28"/>
          <w:szCs w:val="28"/>
        </w:rPr>
        <w:t>–</w:t>
      </w:r>
      <w:r w:rsidR="00CA1D25" w:rsidRPr="006B107B">
        <w:rPr>
          <w:sz w:val="28"/>
          <w:szCs w:val="28"/>
        </w:rPr>
        <w:t xml:space="preserve"> </w:t>
      </w:r>
      <w:r w:rsidR="006A33E5">
        <w:rPr>
          <w:sz w:val="28"/>
          <w:szCs w:val="28"/>
        </w:rPr>
        <w:t xml:space="preserve">начисление </w:t>
      </w:r>
      <w:r w:rsidRPr="006B107B">
        <w:rPr>
          <w:sz w:val="28"/>
          <w:szCs w:val="28"/>
        </w:rPr>
        <w:t>и выпла</w:t>
      </w:r>
      <w:r w:rsidR="006A33E5">
        <w:rPr>
          <w:sz w:val="28"/>
          <w:szCs w:val="28"/>
        </w:rPr>
        <w:t>та</w:t>
      </w:r>
      <w:r w:rsidRPr="006B107B">
        <w:rPr>
          <w:sz w:val="28"/>
          <w:szCs w:val="28"/>
        </w:rPr>
        <w:t xml:space="preserve"> надбав</w:t>
      </w:r>
      <w:r w:rsidR="006A33E5">
        <w:rPr>
          <w:sz w:val="28"/>
          <w:szCs w:val="28"/>
        </w:rPr>
        <w:t>о</w:t>
      </w:r>
      <w:r w:rsidRPr="006B107B">
        <w:rPr>
          <w:sz w:val="28"/>
          <w:szCs w:val="28"/>
        </w:rPr>
        <w:t>к стимулирующего характера</w:t>
      </w:r>
      <w:r w:rsidR="00F32BB6">
        <w:rPr>
          <w:sz w:val="28"/>
          <w:szCs w:val="28"/>
        </w:rPr>
        <w:t xml:space="preserve"> работникам </w:t>
      </w:r>
      <w:r w:rsidR="009B15F7" w:rsidRPr="009B15F7">
        <w:rPr>
          <w:sz w:val="28"/>
          <w:szCs w:val="28"/>
        </w:rPr>
        <w:t xml:space="preserve">при отсутствии </w:t>
      </w:r>
      <w:r w:rsidR="009B15F7">
        <w:rPr>
          <w:sz w:val="28"/>
          <w:szCs w:val="28"/>
        </w:rPr>
        <w:t xml:space="preserve">правовых </w:t>
      </w:r>
      <w:r w:rsidR="009B15F7" w:rsidRPr="009B15F7">
        <w:rPr>
          <w:sz w:val="28"/>
          <w:szCs w:val="28"/>
        </w:rPr>
        <w:t>оснований</w:t>
      </w:r>
      <w:r w:rsidR="009B15F7">
        <w:rPr>
          <w:sz w:val="28"/>
          <w:szCs w:val="28"/>
        </w:rPr>
        <w:t xml:space="preserve"> для их установления;</w:t>
      </w:r>
    </w:p>
    <w:p w:rsidR="00681F64" w:rsidRDefault="009B15F7" w:rsidP="004D75EB">
      <w:pPr>
        <w:ind w:firstLine="709"/>
        <w:jc w:val="both"/>
        <w:rPr>
          <w:sz w:val="28"/>
          <w:szCs w:val="28"/>
        </w:rPr>
      </w:pPr>
      <w:r w:rsidRPr="009B15F7">
        <w:rPr>
          <w:sz w:val="28"/>
          <w:szCs w:val="28"/>
        </w:rPr>
        <w:t xml:space="preserve"> </w:t>
      </w:r>
      <w:r w:rsidR="00681F64" w:rsidRPr="006B107B">
        <w:rPr>
          <w:i/>
          <w:sz w:val="28"/>
          <w:szCs w:val="28"/>
          <w:u w:val="single"/>
        </w:rPr>
        <w:t xml:space="preserve">- </w:t>
      </w:r>
      <w:r w:rsidR="00D871C5" w:rsidRPr="006B107B">
        <w:rPr>
          <w:i/>
          <w:sz w:val="28"/>
          <w:szCs w:val="28"/>
          <w:u w:val="single"/>
        </w:rPr>
        <w:t>24</w:t>
      </w:r>
      <w:r w:rsidR="00BA48CC" w:rsidRPr="006B107B">
        <w:rPr>
          <w:i/>
          <w:sz w:val="28"/>
          <w:szCs w:val="28"/>
          <w:u w:val="single"/>
        </w:rPr>
        <w:t xml:space="preserve"> нарушения законодательства о бухгалтерском учете и требований по составлению бюджетной отчетности (</w:t>
      </w:r>
      <w:r w:rsidR="00D871C5" w:rsidRPr="006B107B">
        <w:rPr>
          <w:i/>
          <w:sz w:val="28"/>
          <w:szCs w:val="28"/>
          <w:u w:val="single"/>
        </w:rPr>
        <w:t>113</w:t>
      </w:r>
      <w:r w:rsidR="006B107B">
        <w:rPr>
          <w:i/>
          <w:sz w:val="28"/>
          <w:szCs w:val="28"/>
          <w:u w:val="single"/>
          <w:lang w:val="en-US"/>
        </w:rPr>
        <w:t> </w:t>
      </w:r>
      <w:r w:rsidR="00D871C5" w:rsidRPr="006B107B">
        <w:rPr>
          <w:i/>
          <w:sz w:val="28"/>
          <w:szCs w:val="28"/>
          <w:u w:val="single"/>
        </w:rPr>
        <w:t>126</w:t>
      </w:r>
      <w:r w:rsidR="006B107B">
        <w:rPr>
          <w:i/>
          <w:sz w:val="28"/>
          <w:szCs w:val="28"/>
          <w:u w:val="single"/>
        </w:rPr>
        <w:t>,</w:t>
      </w:r>
      <w:r w:rsidR="00D871C5" w:rsidRPr="006B107B">
        <w:rPr>
          <w:i/>
          <w:sz w:val="28"/>
          <w:szCs w:val="28"/>
          <w:u w:val="single"/>
        </w:rPr>
        <w:t>3</w:t>
      </w:r>
      <w:r w:rsidR="00972D30">
        <w:rPr>
          <w:i/>
          <w:sz w:val="28"/>
          <w:szCs w:val="28"/>
          <w:u w:val="single"/>
        </w:rPr>
        <w:t xml:space="preserve"> </w:t>
      </w:r>
      <w:proofErr w:type="spellStart"/>
      <w:r w:rsidR="00972D30">
        <w:rPr>
          <w:i/>
          <w:sz w:val="28"/>
          <w:szCs w:val="28"/>
          <w:u w:val="single"/>
        </w:rPr>
        <w:t>тыс.рублей</w:t>
      </w:r>
      <w:proofErr w:type="spellEnd"/>
      <w:r w:rsidR="002B507D" w:rsidRPr="006B107B">
        <w:rPr>
          <w:i/>
          <w:sz w:val="28"/>
          <w:szCs w:val="28"/>
          <w:u w:val="single"/>
        </w:rPr>
        <w:t>)</w:t>
      </w:r>
      <w:r w:rsidR="00CA1D25" w:rsidRPr="006B107B">
        <w:rPr>
          <w:i/>
          <w:sz w:val="28"/>
          <w:szCs w:val="28"/>
          <w:u w:val="single"/>
        </w:rPr>
        <w:t xml:space="preserve"> </w:t>
      </w:r>
      <w:r w:rsidR="00CA1D25" w:rsidRPr="006B107B">
        <w:rPr>
          <w:sz w:val="28"/>
          <w:szCs w:val="28"/>
        </w:rPr>
        <w:t>–</w:t>
      </w:r>
      <w:r w:rsidR="002B507D" w:rsidRPr="006B107B">
        <w:rPr>
          <w:sz w:val="28"/>
          <w:szCs w:val="28"/>
        </w:rPr>
        <w:t xml:space="preserve"> </w:t>
      </w:r>
      <w:r w:rsidR="00846557" w:rsidRPr="006B107B">
        <w:rPr>
          <w:sz w:val="28"/>
          <w:szCs w:val="28"/>
        </w:rPr>
        <w:t xml:space="preserve">в бухгалтерской (финансовой) отчетности за 2021 год, за 9 месяцев 2022 года </w:t>
      </w:r>
      <w:r w:rsidR="002D76B7" w:rsidRPr="006B107B">
        <w:rPr>
          <w:sz w:val="28"/>
          <w:szCs w:val="28"/>
        </w:rPr>
        <w:t>не отражены доходы будущих периодов по субсидии на финансовое обеспечение вы</w:t>
      </w:r>
      <w:r w:rsidR="00681F64" w:rsidRPr="006B107B">
        <w:rPr>
          <w:sz w:val="28"/>
          <w:szCs w:val="28"/>
        </w:rPr>
        <w:t>полнения муниципального задания;</w:t>
      </w:r>
      <w:r w:rsidR="006B107B" w:rsidRPr="006B107B">
        <w:t xml:space="preserve"> </w:t>
      </w:r>
      <w:r w:rsidR="006B107B" w:rsidRPr="006B107B">
        <w:rPr>
          <w:sz w:val="28"/>
          <w:szCs w:val="28"/>
        </w:rPr>
        <w:t>допускалось накопление наличных средств сверх установленного лимита остатка в кассе Учреждения;</w:t>
      </w:r>
      <w:r w:rsidR="00681F64" w:rsidRPr="006B107B">
        <w:rPr>
          <w:sz w:val="28"/>
          <w:szCs w:val="28"/>
        </w:rPr>
        <w:t xml:space="preserve"> факты хозяйственной жизни отражались не своевременно; неверно начислена амортизация на объекты основных средств</w:t>
      </w:r>
      <w:r w:rsidR="008675E3" w:rsidRPr="006B107B">
        <w:rPr>
          <w:sz w:val="28"/>
          <w:szCs w:val="28"/>
        </w:rPr>
        <w:t xml:space="preserve">; </w:t>
      </w:r>
      <w:r w:rsidR="00681F64" w:rsidRPr="006B107B">
        <w:rPr>
          <w:sz w:val="28"/>
          <w:szCs w:val="28"/>
        </w:rPr>
        <w:t>повторно приняты к учету произведенные подотчетным лицом расходы</w:t>
      </w:r>
      <w:r w:rsidR="008675E3" w:rsidRPr="006B107B">
        <w:rPr>
          <w:sz w:val="28"/>
          <w:szCs w:val="28"/>
        </w:rPr>
        <w:t>;</w:t>
      </w:r>
      <w:r w:rsidR="0017288D" w:rsidRPr="006B107B">
        <w:rPr>
          <w:sz w:val="28"/>
          <w:szCs w:val="28"/>
        </w:rPr>
        <w:t xml:space="preserve"> выдача спецодежды и специальной обуви в бухгалтерском учете отражались операциями внутреннего перемещения материальных запасов;</w:t>
      </w:r>
      <w:r w:rsidR="008675E3" w:rsidRPr="006B107B">
        <w:rPr>
          <w:sz w:val="28"/>
          <w:szCs w:val="28"/>
        </w:rPr>
        <w:t xml:space="preserve"> </w:t>
      </w:r>
      <w:r w:rsidR="00681F64" w:rsidRPr="006B107B">
        <w:rPr>
          <w:sz w:val="28"/>
          <w:szCs w:val="28"/>
        </w:rPr>
        <w:t xml:space="preserve">на счете 0.105.00.000 «Материальные запасы» </w:t>
      </w:r>
      <w:proofErr w:type="gramStart"/>
      <w:r w:rsidR="00681F64" w:rsidRPr="006B107B">
        <w:rPr>
          <w:sz w:val="28"/>
          <w:szCs w:val="28"/>
        </w:rPr>
        <w:lastRenderedPageBreak/>
        <w:t>учитывалось</w:t>
      </w:r>
      <w:proofErr w:type="gramEnd"/>
      <w:r w:rsidR="00681F64" w:rsidRPr="006B107B">
        <w:rPr>
          <w:sz w:val="28"/>
          <w:szCs w:val="28"/>
        </w:rPr>
        <w:t xml:space="preserve"> имущество, используемое в текущей деятельности учреждения в течение периода, превышающего 12 месяцев, независимо от их стоимости</w:t>
      </w:r>
      <w:r w:rsidR="008675E3" w:rsidRPr="006B107B">
        <w:rPr>
          <w:sz w:val="28"/>
          <w:szCs w:val="28"/>
        </w:rPr>
        <w:t xml:space="preserve">; </w:t>
      </w:r>
      <w:r w:rsidR="00681F64" w:rsidRPr="006B107B">
        <w:rPr>
          <w:sz w:val="28"/>
          <w:szCs w:val="28"/>
        </w:rPr>
        <w:t>искажение бухгалтерской отчетности на начало и конец отчетного периода;</w:t>
      </w:r>
      <w:r w:rsidR="008675E3" w:rsidRPr="006B107B">
        <w:rPr>
          <w:sz w:val="28"/>
          <w:szCs w:val="28"/>
        </w:rPr>
        <w:t xml:space="preserve"> </w:t>
      </w:r>
      <w:r w:rsidR="00681F64" w:rsidRPr="006B107B">
        <w:rPr>
          <w:sz w:val="28"/>
          <w:szCs w:val="28"/>
        </w:rPr>
        <w:t>иные нарушения законодательства о бухгалтерском учете</w:t>
      </w:r>
      <w:r w:rsidR="008675E3" w:rsidRPr="006B107B">
        <w:rPr>
          <w:sz w:val="28"/>
          <w:szCs w:val="28"/>
        </w:rPr>
        <w:t>;</w:t>
      </w:r>
    </w:p>
    <w:p w:rsidR="006A33E5" w:rsidRDefault="009D73D9" w:rsidP="004D75EB">
      <w:pPr>
        <w:ind w:firstLine="709"/>
        <w:jc w:val="both"/>
      </w:pPr>
      <w:r w:rsidRPr="006B107B">
        <w:rPr>
          <w:i/>
          <w:sz w:val="28"/>
          <w:szCs w:val="28"/>
          <w:u w:val="single"/>
        </w:rPr>
        <w:t>- 1</w:t>
      </w:r>
      <w:r w:rsidR="00D871C5" w:rsidRPr="006B107B">
        <w:rPr>
          <w:i/>
          <w:sz w:val="28"/>
          <w:szCs w:val="28"/>
          <w:u w:val="single"/>
        </w:rPr>
        <w:t>8</w:t>
      </w:r>
      <w:r w:rsidRPr="006B107B">
        <w:rPr>
          <w:i/>
          <w:sz w:val="28"/>
          <w:szCs w:val="28"/>
          <w:u w:val="single"/>
        </w:rPr>
        <w:t xml:space="preserve"> нарушений несоблюдения установленных процедур и требований действующего законодательства (51,5 </w:t>
      </w:r>
      <w:proofErr w:type="spellStart"/>
      <w:r w:rsidRPr="006B107B">
        <w:rPr>
          <w:i/>
          <w:sz w:val="28"/>
          <w:szCs w:val="28"/>
          <w:u w:val="single"/>
        </w:rPr>
        <w:t>тыс.руб</w:t>
      </w:r>
      <w:r w:rsidR="009F6E42">
        <w:rPr>
          <w:i/>
          <w:sz w:val="28"/>
          <w:szCs w:val="28"/>
          <w:u w:val="single"/>
        </w:rPr>
        <w:t>лей</w:t>
      </w:r>
      <w:proofErr w:type="spellEnd"/>
      <w:r w:rsidRPr="006B107B">
        <w:rPr>
          <w:i/>
          <w:sz w:val="28"/>
          <w:szCs w:val="28"/>
          <w:u w:val="single"/>
        </w:rPr>
        <w:t>)</w:t>
      </w:r>
      <w:r w:rsidRPr="006B107B">
        <w:rPr>
          <w:sz w:val="28"/>
          <w:szCs w:val="28"/>
        </w:rPr>
        <w:t xml:space="preserve"> – с кассирами не заключались договоры о полной индивидуальной ответственности</w:t>
      </w:r>
      <w:r w:rsidR="0014754B" w:rsidRPr="006B107B">
        <w:rPr>
          <w:sz w:val="28"/>
          <w:szCs w:val="28"/>
        </w:rPr>
        <w:t xml:space="preserve">; </w:t>
      </w:r>
      <w:r w:rsidRPr="006B107B">
        <w:rPr>
          <w:sz w:val="28"/>
          <w:szCs w:val="28"/>
        </w:rPr>
        <w:t>составлялись реестры проданных билетов без указаний наименования спектакля</w:t>
      </w:r>
      <w:r w:rsidR="0014754B" w:rsidRPr="006B107B">
        <w:rPr>
          <w:sz w:val="28"/>
          <w:szCs w:val="28"/>
        </w:rPr>
        <w:t xml:space="preserve">; </w:t>
      </w:r>
      <w:r w:rsidRPr="006B107B">
        <w:rPr>
          <w:sz w:val="28"/>
          <w:szCs w:val="28"/>
        </w:rPr>
        <w:t>отсутствуют акты приема-передачи переданного на хранение имущества</w:t>
      </w:r>
      <w:r w:rsidR="0014754B" w:rsidRPr="006B107B">
        <w:rPr>
          <w:sz w:val="28"/>
          <w:szCs w:val="28"/>
        </w:rPr>
        <w:t xml:space="preserve">; </w:t>
      </w:r>
      <w:r w:rsidRPr="006B107B">
        <w:rPr>
          <w:sz w:val="28"/>
          <w:szCs w:val="28"/>
        </w:rPr>
        <w:t>оказывались платные услуги, не предусмотренные Уставом</w:t>
      </w:r>
      <w:r w:rsidR="0014754B" w:rsidRPr="006B107B">
        <w:rPr>
          <w:sz w:val="28"/>
          <w:szCs w:val="28"/>
        </w:rPr>
        <w:t xml:space="preserve">; </w:t>
      </w:r>
      <w:r w:rsidR="006B107B" w:rsidRPr="006B107B">
        <w:rPr>
          <w:sz w:val="28"/>
          <w:szCs w:val="28"/>
        </w:rPr>
        <w:t>несоблюдение сроков выплаты заработной платы</w:t>
      </w:r>
      <w:r w:rsidR="00671902" w:rsidRPr="006B107B">
        <w:rPr>
          <w:sz w:val="28"/>
          <w:szCs w:val="28"/>
        </w:rPr>
        <w:t xml:space="preserve">; </w:t>
      </w:r>
      <w:r w:rsidR="006B107B" w:rsidRPr="006B107B">
        <w:rPr>
          <w:sz w:val="28"/>
          <w:szCs w:val="28"/>
        </w:rPr>
        <w:t>форма расчетного листка не утверждена приказом руководителя учреждения</w:t>
      </w:r>
      <w:r w:rsidR="00F32BB6">
        <w:rPr>
          <w:sz w:val="28"/>
          <w:szCs w:val="28"/>
        </w:rPr>
        <w:t>;</w:t>
      </w:r>
      <w:r w:rsidR="006B107B" w:rsidRPr="006B107B">
        <w:rPr>
          <w:sz w:val="28"/>
          <w:szCs w:val="28"/>
        </w:rPr>
        <w:t xml:space="preserve"> нарушались нормы статьи 291 ТК РФ и Постановления Правительства РФ от 24.12.2007 № 922 для работников, работавших по срочному трудовому договору сроком до двух месяцев; </w:t>
      </w:r>
      <w:r w:rsidRPr="006B107B">
        <w:rPr>
          <w:sz w:val="28"/>
          <w:szCs w:val="28"/>
        </w:rPr>
        <w:t>нарушение требований Инструкции № 52н</w:t>
      </w:r>
      <w:r w:rsidR="0014754B" w:rsidRPr="006B107B">
        <w:rPr>
          <w:sz w:val="28"/>
          <w:szCs w:val="28"/>
        </w:rPr>
        <w:t xml:space="preserve">; не проводилась инвентаризация дебиторской и кредиторской задолженности по расчетам с поставщиками и подрядчиками, налоговым расчетам, резервам предстоящих расходов, доходам будущих периодов; </w:t>
      </w:r>
      <w:r w:rsidRPr="006B107B">
        <w:rPr>
          <w:sz w:val="28"/>
          <w:szCs w:val="28"/>
        </w:rPr>
        <w:t xml:space="preserve">не </w:t>
      </w:r>
      <w:r w:rsidR="00F32BB6">
        <w:rPr>
          <w:sz w:val="28"/>
          <w:szCs w:val="28"/>
        </w:rPr>
        <w:t>велась</w:t>
      </w:r>
      <w:r w:rsidRPr="006B107B">
        <w:rPr>
          <w:sz w:val="28"/>
          <w:szCs w:val="28"/>
        </w:rPr>
        <w:t xml:space="preserve"> претензионная работа с контрагентами по оплате </w:t>
      </w:r>
      <w:r w:rsidR="0014754B" w:rsidRPr="006B107B">
        <w:rPr>
          <w:sz w:val="28"/>
          <w:szCs w:val="28"/>
        </w:rPr>
        <w:t>арендных платежей; заключены договоры аренды муниципального недвижимого имущества с начальной ценой, которая не может быть признана достоверной и рекомендуемой для целей составления сделки ввиду истечения срока шести месяцев с даты составления отчета об оценке;</w:t>
      </w:r>
      <w:r w:rsidR="00722E19" w:rsidRPr="00722E19">
        <w:t xml:space="preserve"> </w:t>
      </w:r>
    </w:p>
    <w:p w:rsidR="001C5F8C" w:rsidRDefault="00D871C5" w:rsidP="004D75EB">
      <w:pPr>
        <w:ind w:firstLine="709"/>
        <w:jc w:val="both"/>
        <w:rPr>
          <w:sz w:val="28"/>
          <w:szCs w:val="28"/>
        </w:rPr>
      </w:pPr>
      <w:r w:rsidRPr="006B107B">
        <w:rPr>
          <w:i/>
          <w:sz w:val="28"/>
          <w:szCs w:val="28"/>
          <w:u w:val="single"/>
        </w:rPr>
        <w:t>- 12</w:t>
      </w:r>
      <w:r w:rsidR="00BA48CC" w:rsidRPr="006B107B">
        <w:rPr>
          <w:i/>
          <w:sz w:val="28"/>
          <w:szCs w:val="28"/>
          <w:u w:val="single"/>
        </w:rPr>
        <w:t xml:space="preserve"> нарушений в учете и управлении имуществом, находящимся в муниципальной собс</w:t>
      </w:r>
      <w:r w:rsidR="00B1254C" w:rsidRPr="006B107B">
        <w:rPr>
          <w:i/>
          <w:sz w:val="28"/>
          <w:szCs w:val="28"/>
          <w:u w:val="single"/>
        </w:rPr>
        <w:t>твенности (</w:t>
      </w:r>
      <w:r w:rsidRPr="006B107B">
        <w:rPr>
          <w:i/>
          <w:sz w:val="28"/>
          <w:szCs w:val="28"/>
          <w:u w:val="single"/>
        </w:rPr>
        <w:t>2</w:t>
      </w:r>
      <w:r w:rsidR="00722E19">
        <w:rPr>
          <w:i/>
          <w:sz w:val="28"/>
          <w:szCs w:val="28"/>
          <w:u w:val="single"/>
          <w:lang w:val="en-US"/>
        </w:rPr>
        <w:t> </w:t>
      </w:r>
      <w:r w:rsidRPr="006B107B">
        <w:rPr>
          <w:i/>
          <w:sz w:val="28"/>
          <w:szCs w:val="28"/>
          <w:u w:val="single"/>
        </w:rPr>
        <w:t>358</w:t>
      </w:r>
      <w:r w:rsidR="00722E19">
        <w:rPr>
          <w:i/>
          <w:sz w:val="28"/>
          <w:szCs w:val="28"/>
          <w:u w:val="single"/>
        </w:rPr>
        <w:t>,</w:t>
      </w:r>
      <w:r w:rsidRPr="006B107B">
        <w:rPr>
          <w:i/>
          <w:sz w:val="28"/>
          <w:szCs w:val="28"/>
          <w:u w:val="single"/>
        </w:rPr>
        <w:t>5</w:t>
      </w:r>
      <w:r w:rsidR="00B1254C" w:rsidRPr="006B107B">
        <w:rPr>
          <w:i/>
          <w:sz w:val="28"/>
          <w:szCs w:val="28"/>
          <w:u w:val="single"/>
        </w:rPr>
        <w:t xml:space="preserve"> </w:t>
      </w:r>
      <w:proofErr w:type="spellStart"/>
      <w:r w:rsidR="00B1254C" w:rsidRPr="006B107B">
        <w:rPr>
          <w:i/>
          <w:sz w:val="28"/>
          <w:szCs w:val="28"/>
          <w:u w:val="single"/>
        </w:rPr>
        <w:t>тыс.рублей</w:t>
      </w:r>
      <w:proofErr w:type="spellEnd"/>
      <w:r w:rsidR="00B1254C" w:rsidRPr="006B107B">
        <w:rPr>
          <w:i/>
          <w:sz w:val="28"/>
          <w:szCs w:val="28"/>
          <w:u w:val="single"/>
        </w:rPr>
        <w:t xml:space="preserve">) </w:t>
      </w:r>
      <w:r w:rsidR="00187CA2" w:rsidRPr="006B107B">
        <w:rPr>
          <w:sz w:val="28"/>
          <w:szCs w:val="28"/>
        </w:rPr>
        <w:t>–</w:t>
      </w:r>
      <w:r w:rsidR="00B90B8F" w:rsidRPr="006B107B">
        <w:rPr>
          <w:sz w:val="28"/>
          <w:szCs w:val="28"/>
        </w:rPr>
        <w:t xml:space="preserve"> </w:t>
      </w:r>
      <w:r w:rsidRPr="006B107B">
        <w:rPr>
          <w:sz w:val="28"/>
          <w:szCs w:val="28"/>
        </w:rPr>
        <w:t xml:space="preserve">на </w:t>
      </w:r>
      <w:proofErr w:type="spellStart"/>
      <w:r w:rsidRPr="006B107B">
        <w:rPr>
          <w:sz w:val="28"/>
          <w:szCs w:val="28"/>
        </w:rPr>
        <w:t>забалансовых</w:t>
      </w:r>
      <w:proofErr w:type="spellEnd"/>
      <w:r w:rsidRPr="006B107B">
        <w:rPr>
          <w:sz w:val="28"/>
          <w:szCs w:val="28"/>
        </w:rPr>
        <w:t xml:space="preserve"> счетах не учтено имущество, полученное в пользование; </w:t>
      </w:r>
      <w:r w:rsidR="00187CA2" w:rsidRPr="006B107B">
        <w:rPr>
          <w:sz w:val="28"/>
          <w:szCs w:val="28"/>
        </w:rPr>
        <w:t>имущество</w:t>
      </w:r>
      <w:r w:rsidR="00BC5E95" w:rsidRPr="006B107B">
        <w:rPr>
          <w:sz w:val="28"/>
          <w:szCs w:val="28"/>
        </w:rPr>
        <w:t>,</w:t>
      </w:r>
      <w:r w:rsidR="00187CA2" w:rsidRPr="006B107B">
        <w:rPr>
          <w:sz w:val="28"/>
          <w:szCs w:val="28"/>
        </w:rPr>
        <w:t xml:space="preserve"> полученное в дар</w:t>
      </w:r>
      <w:r w:rsidR="00BC5E95" w:rsidRPr="006B107B">
        <w:rPr>
          <w:sz w:val="28"/>
          <w:szCs w:val="28"/>
        </w:rPr>
        <w:t>,</w:t>
      </w:r>
      <w:r w:rsidR="00187CA2" w:rsidRPr="006B107B">
        <w:rPr>
          <w:sz w:val="28"/>
          <w:szCs w:val="28"/>
        </w:rPr>
        <w:t xml:space="preserve"> принималось к учету без решения комиссии по поступлению и выбытию активов без определения справедливой стоимости</w:t>
      </w:r>
      <w:r w:rsidRPr="006B107B">
        <w:rPr>
          <w:sz w:val="28"/>
          <w:szCs w:val="28"/>
        </w:rPr>
        <w:t xml:space="preserve">; на балансовых счетах бухгалтерского учета не отражены объекты нематериальных активов; </w:t>
      </w:r>
      <w:r w:rsidR="0014754B" w:rsidRPr="006B107B">
        <w:rPr>
          <w:sz w:val="28"/>
          <w:szCs w:val="28"/>
        </w:rPr>
        <w:t xml:space="preserve">на </w:t>
      </w:r>
      <w:proofErr w:type="spellStart"/>
      <w:r w:rsidR="0014754B" w:rsidRPr="006B107B">
        <w:rPr>
          <w:sz w:val="28"/>
          <w:szCs w:val="28"/>
        </w:rPr>
        <w:t>забалансовом</w:t>
      </w:r>
      <w:proofErr w:type="spellEnd"/>
      <w:r w:rsidR="0014754B" w:rsidRPr="006B107B">
        <w:rPr>
          <w:sz w:val="28"/>
          <w:szCs w:val="28"/>
        </w:rPr>
        <w:t xml:space="preserve"> счете 01 учитывались земельные участки, на которые оформлена государственная регистрация права постоянного (бессрочного) пользования</w:t>
      </w:r>
      <w:r w:rsidRPr="006B107B">
        <w:rPr>
          <w:sz w:val="28"/>
          <w:szCs w:val="28"/>
        </w:rPr>
        <w:t>; предоставление без заключения договора во временное возмездное пользование жило</w:t>
      </w:r>
      <w:r w:rsidR="00722E19">
        <w:rPr>
          <w:sz w:val="28"/>
          <w:szCs w:val="28"/>
        </w:rPr>
        <w:t>го</w:t>
      </w:r>
      <w:r w:rsidRPr="006B107B">
        <w:rPr>
          <w:sz w:val="28"/>
          <w:szCs w:val="28"/>
        </w:rPr>
        <w:t xml:space="preserve"> помещени</w:t>
      </w:r>
      <w:r w:rsidR="00722E19">
        <w:rPr>
          <w:sz w:val="28"/>
          <w:szCs w:val="28"/>
        </w:rPr>
        <w:t>я</w:t>
      </w:r>
      <w:r w:rsidRPr="006B107B">
        <w:rPr>
          <w:sz w:val="28"/>
          <w:szCs w:val="28"/>
        </w:rPr>
        <w:t xml:space="preserve"> (квартир</w:t>
      </w:r>
      <w:r w:rsidR="00722E19">
        <w:rPr>
          <w:sz w:val="28"/>
          <w:szCs w:val="28"/>
        </w:rPr>
        <w:t>ы</w:t>
      </w:r>
      <w:r w:rsidRPr="006B107B">
        <w:rPr>
          <w:sz w:val="28"/>
          <w:szCs w:val="28"/>
        </w:rPr>
        <w:t>) сотруднику, имеющему постоянную регистрацию по другому адресу</w:t>
      </w:r>
      <w:r w:rsidR="00722E19">
        <w:rPr>
          <w:sz w:val="28"/>
          <w:szCs w:val="28"/>
        </w:rPr>
        <w:t>;</w:t>
      </w:r>
    </w:p>
    <w:p w:rsidR="00722E19" w:rsidRDefault="001A2AB3" w:rsidP="004D75EB">
      <w:pPr>
        <w:ind w:firstLine="709"/>
        <w:jc w:val="both"/>
        <w:rPr>
          <w:sz w:val="28"/>
          <w:szCs w:val="28"/>
        </w:rPr>
      </w:pPr>
      <w:r w:rsidRPr="006B107B">
        <w:rPr>
          <w:i/>
          <w:sz w:val="28"/>
          <w:szCs w:val="28"/>
          <w:u w:val="single"/>
        </w:rPr>
        <w:t xml:space="preserve">- </w:t>
      </w:r>
      <w:r w:rsidR="004D75EB">
        <w:rPr>
          <w:i/>
          <w:sz w:val="28"/>
          <w:szCs w:val="28"/>
          <w:u w:val="single"/>
        </w:rPr>
        <w:t>7</w:t>
      </w:r>
      <w:r w:rsidR="00BA48CC" w:rsidRPr="006B107B">
        <w:rPr>
          <w:i/>
          <w:sz w:val="28"/>
          <w:szCs w:val="28"/>
          <w:u w:val="single"/>
        </w:rPr>
        <w:t xml:space="preserve"> нарушений по несоблюдению требований правовых актов органов местного самоуправления </w:t>
      </w:r>
      <w:r w:rsidR="00B1254C" w:rsidRPr="006B107B">
        <w:rPr>
          <w:i/>
          <w:sz w:val="28"/>
          <w:szCs w:val="28"/>
          <w:u w:val="single"/>
        </w:rPr>
        <w:t xml:space="preserve"> </w:t>
      </w:r>
      <w:r w:rsidR="002361A4" w:rsidRPr="006B107B">
        <w:rPr>
          <w:sz w:val="28"/>
          <w:szCs w:val="28"/>
        </w:rPr>
        <w:t>–</w:t>
      </w:r>
      <w:r w:rsidRPr="006B107B">
        <w:rPr>
          <w:sz w:val="28"/>
          <w:szCs w:val="28"/>
        </w:rPr>
        <w:t xml:space="preserve"> </w:t>
      </w:r>
      <w:r w:rsidR="00446FFA" w:rsidRPr="006B107B">
        <w:rPr>
          <w:sz w:val="28"/>
          <w:szCs w:val="28"/>
        </w:rPr>
        <w:t>цены на билеты не подтверждены расчетами затрат на оказание платных услуг (работ) и не</w:t>
      </w:r>
      <w:r w:rsidR="00446FFA" w:rsidRPr="006B107B">
        <w:t xml:space="preserve"> </w:t>
      </w:r>
      <w:r w:rsidR="00446FFA" w:rsidRPr="006B107B">
        <w:rPr>
          <w:sz w:val="28"/>
          <w:szCs w:val="28"/>
        </w:rPr>
        <w:t>согласованы Учредителем</w:t>
      </w:r>
      <w:r w:rsidRPr="006B107B">
        <w:rPr>
          <w:sz w:val="28"/>
          <w:szCs w:val="28"/>
        </w:rPr>
        <w:t xml:space="preserve">; </w:t>
      </w:r>
      <w:r w:rsidR="00446FFA" w:rsidRPr="006B107B">
        <w:rPr>
          <w:sz w:val="28"/>
          <w:szCs w:val="28"/>
        </w:rPr>
        <w:t>при проведении мероприятий Учреждение не руководствовалось нормативными локальными актами по утверждению цен на билеты</w:t>
      </w:r>
      <w:r w:rsidRPr="006B107B">
        <w:rPr>
          <w:sz w:val="28"/>
          <w:szCs w:val="28"/>
        </w:rPr>
        <w:t xml:space="preserve">; </w:t>
      </w:r>
      <w:r w:rsidR="00446FFA" w:rsidRPr="006B107B">
        <w:rPr>
          <w:sz w:val="28"/>
          <w:szCs w:val="28"/>
        </w:rPr>
        <w:t>проводились мероприятия без утверждения размера платы на услуги</w:t>
      </w:r>
      <w:r w:rsidRPr="006B107B">
        <w:rPr>
          <w:sz w:val="28"/>
          <w:szCs w:val="28"/>
        </w:rPr>
        <w:t xml:space="preserve">; не соблюдение требований нормативно-правовых актов в части применения системы оплаты труда для работников учреждения, утвержденных Учредителем; </w:t>
      </w:r>
    </w:p>
    <w:p w:rsidR="0099702B" w:rsidRDefault="00722E19" w:rsidP="004D75EB">
      <w:pPr>
        <w:ind w:firstLine="709"/>
        <w:jc w:val="both"/>
        <w:rPr>
          <w:sz w:val="28"/>
          <w:szCs w:val="28"/>
        </w:rPr>
      </w:pPr>
      <w:r w:rsidRPr="009B15F7">
        <w:rPr>
          <w:i/>
          <w:sz w:val="28"/>
          <w:szCs w:val="28"/>
          <w:u w:val="single"/>
        </w:rPr>
        <w:t xml:space="preserve">- 1 </w:t>
      </w:r>
      <w:proofErr w:type="spellStart"/>
      <w:r w:rsidRPr="009B15F7">
        <w:rPr>
          <w:i/>
          <w:sz w:val="28"/>
          <w:szCs w:val="28"/>
          <w:u w:val="single"/>
        </w:rPr>
        <w:t>коррупциогенный</w:t>
      </w:r>
      <w:proofErr w:type="spellEnd"/>
      <w:r w:rsidRPr="009B15F7">
        <w:rPr>
          <w:i/>
          <w:sz w:val="28"/>
          <w:szCs w:val="28"/>
          <w:u w:val="single"/>
        </w:rPr>
        <w:t xml:space="preserve"> фактор</w:t>
      </w:r>
      <w:r w:rsidRPr="00722E19">
        <w:rPr>
          <w:i/>
          <w:sz w:val="28"/>
          <w:szCs w:val="28"/>
        </w:rPr>
        <w:t xml:space="preserve"> </w:t>
      </w:r>
      <w:r w:rsidRPr="00722E19">
        <w:rPr>
          <w:sz w:val="28"/>
          <w:szCs w:val="28"/>
        </w:rPr>
        <w:t>- при</w:t>
      </w:r>
      <w:r w:rsidR="001A2AB3" w:rsidRPr="006B107B">
        <w:rPr>
          <w:sz w:val="28"/>
          <w:szCs w:val="28"/>
        </w:rPr>
        <w:t xml:space="preserve"> приняти</w:t>
      </w:r>
      <w:r>
        <w:rPr>
          <w:sz w:val="28"/>
          <w:szCs w:val="28"/>
        </w:rPr>
        <w:t>и</w:t>
      </w:r>
      <w:r w:rsidR="001A2AB3" w:rsidRPr="006B107B">
        <w:rPr>
          <w:sz w:val="28"/>
          <w:szCs w:val="28"/>
        </w:rPr>
        <w:t xml:space="preserve"> решения об осуществлении работникам выплат стимулирующего характера в Учреждении не применяется демократическая процедура при оценке эффективности работы различных категорий работников;</w:t>
      </w:r>
    </w:p>
    <w:p w:rsidR="006A33E5" w:rsidRDefault="00671902" w:rsidP="004D75EB">
      <w:pPr>
        <w:ind w:firstLine="709"/>
        <w:jc w:val="both"/>
        <w:rPr>
          <w:sz w:val="28"/>
          <w:szCs w:val="28"/>
        </w:rPr>
      </w:pPr>
      <w:r w:rsidRPr="006B107B">
        <w:rPr>
          <w:i/>
          <w:sz w:val="28"/>
          <w:szCs w:val="28"/>
          <w:u w:val="single"/>
        </w:rPr>
        <w:lastRenderedPageBreak/>
        <w:t xml:space="preserve">- </w:t>
      </w:r>
      <w:r w:rsidR="00D871C5" w:rsidRPr="006B107B">
        <w:rPr>
          <w:i/>
          <w:sz w:val="28"/>
          <w:szCs w:val="28"/>
          <w:u w:val="single"/>
        </w:rPr>
        <w:t>11</w:t>
      </w:r>
      <w:r w:rsidRPr="006B107B">
        <w:rPr>
          <w:i/>
          <w:sz w:val="28"/>
          <w:szCs w:val="28"/>
          <w:u w:val="single"/>
        </w:rPr>
        <w:t xml:space="preserve"> нарушени</w:t>
      </w:r>
      <w:r w:rsidR="00722E19">
        <w:rPr>
          <w:i/>
          <w:sz w:val="28"/>
          <w:szCs w:val="28"/>
          <w:u w:val="single"/>
        </w:rPr>
        <w:t>й</w:t>
      </w:r>
      <w:r w:rsidRPr="006B107B">
        <w:rPr>
          <w:i/>
          <w:sz w:val="28"/>
          <w:szCs w:val="28"/>
          <w:u w:val="single"/>
        </w:rPr>
        <w:t xml:space="preserve"> по несоблюдению требований прочих локальных актов Учреждения</w:t>
      </w:r>
      <w:r w:rsidR="00D871C5" w:rsidRPr="006B107B">
        <w:rPr>
          <w:i/>
          <w:sz w:val="28"/>
          <w:szCs w:val="28"/>
          <w:u w:val="single"/>
        </w:rPr>
        <w:t xml:space="preserve"> (22,0 </w:t>
      </w:r>
      <w:proofErr w:type="spellStart"/>
      <w:r w:rsidR="00D871C5" w:rsidRPr="006B107B">
        <w:rPr>
          <w:i/>
          <w:sz w:val="28"/>
          <w:szCs w:val="28"/>
          <w:u w:val="single"/>
        </w:rPr>
        <w:t>тыс.руб</w:t>
      </w:r>
      <w:r w:rsidR="009F6E42">
        <w:rPr>
          <w:i/>
          <w:sz w:val="28"/>
          <w:szCs w:val="28"/>
          <w:u w:val="single"/>
        </w:rPr>
        <w:t>лей</w:t>
      </w:r>
      <w:proofErr w:type="spellEnd"/>
      <w:r w:rsidR="00D871C5" w:rsidRPr="006B107B">
        <w:rPr>
          <w:i/>
          <w:sz w:val="28"/>
          <w:szCs w:val="28"/>
          <w:u w:val="single"/>
        </w:rPr>
        <w:t>)</w:t>
      </w:r>
      <w:r w:rsidRPr="006B107B">
        <w:rPr>
          <w:sz w:val="28"/>
          <w:szCs w:val="28"/>
        </w:rPr>
        <w:t xml:space="preserve"> – проводились занятия без предоставления заявок в письменной форме; не согласовывались списки для выдачи пригласительных билетов; при проведении мероприятий Учреждение не руководствовалось утвержденными ценами на билеты; не проводилась аттестация работников на соответствие занимаемой должности; инвентаризация материальных запасов проведена на даты, не соответствующие Положению об инвентаризации</w:t>
      </w:r>
      <w:r w:rsidR="006A33E5">
        <w:rPr>
          <w:sz w:val="28"/>
          <w:szCs w:val="28"/>
        </w:rPr>
        <w:t>;</w:t>
      </w:r>
    </w:p>
    <w:p w:rsidR="00451658" w:rsidRDefault="006B107B" w:rsidP="004D75EB">
      <w:pPr>
        <w:ind w:firstLine="709"/>
        <w:jc w:val="both"/>
        <w:rPr>
          <w:sz w:val="28"/>
          <w:szCs w:val="28"/>
        </w:rPr>
      </w:pPr>
      <w:r w:rsidRPr="006B107B">
        <w:rPr>
          <w:sz w:val="28"/>
          <w:szCs w:val="28"/>
        </w:rPr>
        <w:t xml:space="preserve"> </w:t>
      </w:r>
      <w:r w:rsidR="00BA48CC" w:rsidRPr="004D75EB">
        <w:rPr>
          <w:i/>
          <w:sz w:val="28"/>
          <w:szCs w:val="28"/>
          <w:u w:val="single"/>
        </w:rPr>
        <w:t xml:space="preserve">- </w:t>
      </w:r>
      <w:r w:rsidR="0043197B" w:rsidRPr="004D75EB">
        <w:rPr>
          <w:i/>
          <w:sz w:val="28"/>
          <w:szCs w:val="28"/>
          <w:u w:val="single"/>
        </w:rPr>
        <w:t>4</w:t>
      </w:r>
      <w:r w:rsidR="00BA48CC" w:rsidRPr="006B107B">
        <w:rPr>
          <w:i/>
          <w:sz w:val="28"/>
          <w:szCs w:val="28"/>
          <w:u w:val="single"/>
        </w:rPr>
        <w:t xml:space="preserve"> нарушения по несоблюдению порядка ведения и утверждения плана финансово-хозяйственной деятельности</w:t>
      </w:r>
      <w:r w:rsidR="0043197B" w:rsidRPr="006B107B">
        <w:rPr>
          <w:i/>
          <w:sz w:val="28"/>
          <w:szCs w:val="28"/>
          <w:u w:val="single"/>
        </w:rPr>
        <w:t xml:space="preserve"> (303,8 </w:t>
      </w:r>
      <w:proofErr w:type="spellStart"/>
      <w:r w:rsidR="0043197B" w:rsidRPr="006B107B">
        <w:rPr>
          <w:i/>
          <w:sz w:val="28"/>
          <w:szCs w:val="28"/>
          <w:u w:val="single"/>
        </w:rPr>
        <w:t>тыс.руб</w:t>
      </w:r>
      <w:r w:rsidR="009F6E42">
        <w:rPr>
          <w:i/>
          <w:sz w:val="28"/>
          <w:szCs w:val="28"/>
          <w:u w:val="single"/>
        </w:rPr>
        <w:t>лей</w:t>
      </w:r>
      <w:proofErr w:type="spellEnd"/>
      <w:r w:rsidR="0043197B" w:rsidRPr="006B107B">
        <w:rPr>
          <w:i/>
          <w:sz w:val="28"/>
          <w:szCs w:val="28"/>
          <w:u w:val="single"/>
        </w:rPr>
        <w:t>)</w:t>
      </w:r>
      <w:r w:rsidR="00B1254C" w:rsidRPr="006B107B">
        <w:rPr>
          <w:sz w:val="28"/>
          <w:szCs w:val="28"/>
        </w:rPr>
        <w:t xml:space="preserve"> </w:t>
      </w:r>
      <w:r w:rsidR="00451658" w:rsidRPr="006B107B">
        <w:rPr>
          <w:sz w:val="28"/>
          <w:szCs w:val="28"/>
        </w:rPr>
        <w:t>–</w:t>
      </w:r>
      <w:r w:rsidR="00B1254C" w:rsidRPr="006B107B">
        <w:rPr>
          <w:sz w:val="28"/>
          <w:szCs w:val="28"/>
        </w:rPr>
        <w:t xml:space="preserve"> </w:t>
      </w:r>
      <w:r w:rsidR="007E30A1" w:rsidRPr="006B107B">
        <w:rPr>
          <w:sz w:val="28"/>
          <w:szCs w:val="28"/>
        </w:rPr>
        <w:t xml:space="preserve">отсутствуют обоснования к Плану ФХД; план </w:t>
      </w:r>
      <w:r w:rsidR="00451658" w:rsidRPr="006B107B">
        <w:rPr>
          <w:sz w:val="28"/>
          <w:szCs w:val="28"/>
        </w:rPr>
        <w:t>утверждался не в соответствии с порядком составления и утверждения Плана ФХД; заполнялся не по фактическим данным остатков денежных средств в кассе и на лицевом счете учреждения; не вносились изменения в план в части уточнения плановых назначений по доходам</w:t>
      </w:r>
      <w:r w:rsidR="0043197B" w:rsidRPr="006B107B">
        <w:rPr>
          <w:sz w:val="28"/>
          <w:szCs w:val="28"/>
        </w:rPr>
        <w:t>;</w:t>
      </w:r>
    </w:p>
    <w:p w:rsidR="00187CA2" w:rsidRDefault="0017288D" w:rsidP="004D75EB">
      <w:pPr>
        <w:ind w:firstLine="709"/>
        <w:jc w:val="both"/>
        <w:rPr>
          <w:sz w:val="28"/>
          <w:szCs w:val="28"/>
        </w:rPr>
      </w:pPr>
      <w:r w:rsidRPr="0017288D">
        <w:rPr>
          <w:i/>
          <w:sz w:val="28"/>
          <w:szCs w:val="28"/>
          <w:u w:val="single"/>
        </w:rPr>
        <w:t xml:space="preserve">- </w:t>
      </w:r>
      <w:r w:rsidR="00BA48CC" w:rsidRPr="0017288D">
        <w:rPr>
          <w:i/>
          <w:sz w:val="28"/>
          <w:szCs w:val="28"/>
          <w:u w:val="single"/>
        </w:rPr>
        <w:t>2</w:t>
      </w:r>
      <w:r w:rsidR="00BA48CC" w:rsidRPr="00AE3AA8">
        <w:rPr>
          <w:i/>
          <w:sz w:val="28"/>
          <w:szCs w:val="28"/>
          <w:u w:val="single"/>
        </w:rPr>
        <w:t xml:space="preserve"> </w:t>
      </w:r>
      <w:r w:rsidR="00BA48CC" w:rsidRPr="00247528">
        <w:rPr>
          <w:i/>
          <w:sz w:val="28"/>
          <w:szCs w:val="28"/>
          <w:u w:val="single"/>
        </w:rPr>
        <w:t>нарушения по деятельности не пре</w:t>
      </w:r>
      <w:r w:rsidR="007E30A1" w:rsidRPr="00247528">
        <w:rPr>
          <w:i/>
          <w:sz w:val="28"/>
          <w:szCs w:val="28"/>
          <w:u w:val="single"/>
        </w:rPr>
        <w:t xml:space="preserve">дусмотренной </w:t>
      </w:r>
      <w:r w:rsidR="00B1254C">
        <w:rPr>
          <w:i/>
          <w:sz w:val="28"/>
          <w:szCs w:val="28"/>
          <w:u w:val="single"/>
        </w:rPr>
        <w:t>Уставом учреждения</w:t>
      </w:r>
      <w:r>
        <w:rPr>
          <w:i/>
          <w:sz w:val="28"/>
          <w:szCs w:val="28"/>
          <w:u w:val="single"/>
        </w:rPr>
        <w:t xml:space="preserve"> </w:t>
      </w:r>
      <w:r>
        <w:rPr>
          <w:sz w:val="28"/>
          <w:szCs w:val="28"/>
        </w:rPr>
        <w:t xml:space="preserve">– Учреждением проводились мероприятия без утверждения платы за услуги; </w:t>
      </w:r>
      <w:r w:rsidR="00187CA2" w:rsidRPr="00187CA2">
        <w:rPr>
          <w:sz w:val="28"/>
          <w:szCs w:val="28"/>
        </w:rPr>
        <w:t>Учреждение при оказании одинаковых услуг для юридических лиц оказывало услуги на неодинаковых условиях</w:t>
      </w:r>
      <w:r w:rsidR="004D75EB">
        <w:rPr>
          <w:sz w:val="28"/>
          <w:szCs w:val="28"/>
        </w:rPr>
        <w:t>.</w:t>
      </w:r>
    </w:p>
    <w:p w:rsidR="00187CA2" w:rsidRDefault="00187CA2" w:rsidP="004D75EB">
      <w:pPr>
        <w:ind w:firstLine="709"/>
        <w:jc w:val="both"/>
        <w:rPr>
          <w:sz w:val="28"/>
          <w:szCs w:val="28"/>
        </w:rPr>
      </w:pPr>
    </w:p>
    <w:p w:rsidR="00E7081F" w:rsidRDefault="00E7081F" w:rsidP="004D75EB">
      <w:pPr>
        <w:ind w:firstLine="709"/>
        <w:jc w:val="both"/>
        <w:rPr>
          <w:sz w:val="28"/>
          <w:szCs w:val="28"/>
        </w:rPr>
      </w:pPr>
      <w:r w:rsidRPr="008C2DF3">
        <w:rPr>
          <w:sz w:val="28"/>
          <w:szCs w:val="28"/>
        </w:rPr>
        <w:t>Для принятия мер по устранению нарушений и исключению их из дальнейшей деятельности</w:t>
      </w:r>
      <w:r w:rsidR="004D75EB">
        <w:rPr>
          <w:sz w:val="28"/>
          <w:szCs w:val="28"/>
        </w:rPr>
        <w:t xml:space="preserve"> исполняющему обязанности</w:t>
      </w:r>
      <w:r w:rsidRPr="008C2DF3">
        <w:rPr>
          <w:sz w:val="28"/>
          <w:szCs w:val="28"/>
        </w:rPr>
        <w:t xml:space="preserve"> </w:t>
      </w:r>
      <w:r w:rsidR="002E128B">
        <w:rPr>
          <w:sz w:val="28"/>
          <w:szCs w:val="28"/>
        </w:rPr>
        <w:t>директор</w:t>
      </w:r>
      <w:r w:rsidR="004D75EB">
        <w:rPr>
          <w:sz w:val="28"/>
          <w:szCs w:val="28"/>
        </w:rPr>
        <w:t>а</w:t>
      </w:r>
      <w:r w:rsidR="00D938BF">
        <w:rPr>
          <w:sz w:val="28"/>
          <w:szCs w:val="28"/>
        </w:rPr>
        <w:t xml:space="preserve"> </w:t>
      </w:r>
      <w:r w:rsidR="004D75EB" w:rsidRPr="004D75EB">
        <w:rPr>
          <w:sz w:val="28"/>
          <w:szCs w:val="28"/>
        </w:rPr>
        <w:t>Муниципально</w:t>
      </w:r>
      <w:r w:rsidR="004D75EB">
        <w:rPr>
          <w:sz w:val="28"/>
          <w:szCs w:val="28"/>
        </w:rPr>
        <w:t>го</w:t>
      </w:r>
      <w:r w:rsidR="004D75EB" w:rsidRPr="004D75EB">
        <w:rPr>
          <w:sz w:val="28"/>
          <w:szCs w:val="28"/>
        </w:rPr>
        <w:t xml:space="preserve"> бюджетно</w:t>
      </w:r>
      <w:r w:rsidR="004D75EB">
        <w:rPr>
          <w:sz w:val="28"/>
          <w:szCs w:val="28"/>
        </w:rPr>
        <w:t>го</w:t>
      </w:r>
      <w:r w:rsidR="004D75EB" w:rsidRPr="004D75EB">
        <w:rPr>
          <w:sz w:val="28"/>
          <w:szCs w:val="28"/>
        </w:rPr>
        <w:t xml:space="preserve"> учреждени</w:t>
      </w:r>
      <w:r w:rsidR="004D75EB">
        <w:rPr>
          <w:sz w:val="28"/>
          <w:szCs w:val="28"/>
        </w:rPr>
        <w:t>я</w:t>
      </w:r>
      <w:r w:rsidR="004D75EB" w:rsidRPr="004D75EB">
        <w:rPr>
          <w:sz w:val="28"/>
          <w:szCs w:val="28"/>
        </w:rPr>
        <w:t xml:space="preserve"> Озерского городского округа театр кукол «Золотой петушок»</w:t>
      </w:r>
      <w:r w:rsidR="002E128B" w:rsidRPr="002E128B">
        <w:rPr>
          <w:sz w:val="28"/>
          <w:szCs w:val="28"/>
        </w:rPr>
        <w:t xml:space="preserve"> </w:t>
      </w:r>
      <w:r w:rsidR="00D938BF">
        <w:rPr>
          <w:sz w:val="28"/>
          <w:szCs w:val="28"/>
        </w:rPr>
        <w:t xml:space="preserve">направлено </w:t>
      </w:r>
      <w:r w:rsidRPr="00D1783B">
        <w:rPr>
          <w:sz w:val="28"/>
          <w:szCs w:val="28"/>
        </w:rPr>
        <w:t xml:space="preserve">представление от </w:t>
      </w:r>
      <w:r w:rsidR="004D75EB">
        <w:rPr>
          <w:sz w:val="28"/>
          <w:szCs w:val="28"/>
        </w:rPr>
        <w:t>13</w:t>
      </w:r>
      <w:r w:rsidRPr="00D1783B">
        <w:rPr>
          <w:sz w:val="28"/>
          <w:szCs w:val="28"/>
        </w:rPr>
        <w:t>.</w:t>
      </w:r>
      <w:r w:rsidR="004D75EB">
        <w:rPr>
          <w:sz w:val="28"/>
          <w:szCs w:val="28"/>
        </w:rPr>
        <w:t>02</w:t>
      </w:r>
      <w:r w:rsidRPr="00D1783B">
        <w:rPr>
          <w:sz w:val="28"/>
          <w:szCs w:val="28"/>
        </w:rPr>
        <w:t>.20</w:t>
      </w:r>
      <w:r w:rsidR="00143299" w:rsidRPr="00D1783B">
        <w:rPr>
          <w:sz w:val="28"/>
          <w:szCs w:val="28"/>
        </w:rPr>
        <w:t>2</w:t>
      </w:r>
      <w:r w:rsidR="004D75EB">
        <w:rPr>
          <w:sz w:val="28"/>
          <w:szCs w:val="28"/>
        </w:rPr>
        <w:t>3</w:t>
      </w:r>
      <w:r w:rsidRPr="00D1783B">
        <w:rPr>
          <w:sz w:val="28"/>
          <w:szCs w:val="28"/>
        </w:rPr>
        <w:t xml:space="preserve"> № </w:t>
      </w:r>
      <w:r w:rsidR="004D75EB">
        <w:rPr>
          <w:sz w:val="28"/>
          <w:szCs w:val="28"/>
        </w:rPr>
        <w:t>1</w:t>
      </w:r>
      <w:r w:rsidR="00600518">
        <w:rPr>
          <w:sz w:val="28"/>
          <w:szCs w:val="28"/>
        </w:rPr>
        <w:t>, в том числе по возврату средств субсидии в бюджет Озерского городского округа.</w:t>
      </w:r>
    </w:p>
    <w:p w:rsidR="00600518" w:rsidRDefault="00600518" w:rsidP="004D75EB">
      <w:pPr>
        <w:ind w:firstLine="709"/>
        <w:jc w:val="both"/>
        <w:rPr>
          <w:sz w:val="28"/>
          <w:szCs w:val="28"/>
        </w:rPr>
      </w:pPr>
    </w:p>
    <w:p w:rsidR="00600518" w:rsidRDefault="00600518" w:rsidP="004D75EB">
      <w:pPr>
        <w:ind w:firstLine="709"/>
        <w:jc w:val="both"/>
        <w:rPr>
          <w:sz w:val="28"/>
          <w:szCs w:val="28"/>
        </w:rPr>
      </w:pPr>
      <w:r>
        <w:rPr>
          <w:sz w:val="28"/>
          <w:szCs w:val="28"/>
        </w:rPr>
        <w:t>По результатам контрольного мероприятия КСП ОГО составлены протоколы об адм</w:t>
      </w:r>
      <w:bookmarkStart w:id="0" w:name="_GoBack"/>
      <w:bookmarkEnd w:id="0"/>
      <w:r>
        <w:rPr>
          <w:sz w:val="28"/>
          <w:szCs w:val="28"/>
        </w:rPr>
        <w:t>инистративном правонарушении, ответственность за которые предусмотрена статьей 15.</w:t>
      </w:r>
      <w:r w:rsidRPr="00600518">
        <w:rPr>
          <w:sz w:val="28"/>
          <w:szCs w:val="28"/>
        </w:rPr>
        <w:t>1</w:t>
      </w:r>
      <w:r>
        <w:rPr>
          <w:sz w:val="28"/>
          <w:szCs w:val="28"/>
        </w:rPr>
        <w:t xml:space="preserve"> и</w:t>
      </w:r>
      <w:r w:rsidRPr="00600518">
        <w:rPr>
          <w:sz w:val="28"/>
          <w:szCs w:val="28"/>
        </w:rPr>
        <w:t xml:space="preserve"> част</w:t>
      </w:r>
      <w:r>
        <w:rPr>
          <w:sz w:val="28"/>
          <w:szCs w:val="28"/>
        </w:rPr>
        <w:t>ью</w:t>
      </w:r>
      <w:r w:rsidRPr="00600518">
        <w:rPr>
          <w:sz w:val="28"/>
          <w:szCs w:val="28"/>
        </w:rPr>
        <w:t xml:space="preserve"> 4 статьи 15.15.6 КоАП РФ</w:t>
      </w:r>
      <w:r>
        <w:rPr>
          <w:sz w:val="28"/>
          <w:szCs w:val="28"/>
        </w:rPr>
        <w:t>.</w:t>
      </w:r>
    </w:p>
    <w:p w:rsidR="008D4ECF" w:rsidRDefault="008D4ECF" w:rsidP="004D75EB">
      <w:pPr>
        <w:ind w:firstLine="709"/>
        <w:jc w:val="both"/>
        <w:rPr>
          <w:sz w:val="28"/>
          <w:szCs w:val="28"/>
        </w:rPr>
      </w:pPr>
    </w:p>
    <w:p w:rsidR="00790355" w:rsidRP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5177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75317"/>
    <w:rsid w:val="00083E9A"/>
    <w:rsid w:val="00095357"/>
    <w:rsid w:val="001316F3"/>
    <w:rsid w:val="00135A92"/>
    <w:rsid w:val="00143299"/>
    <w:rsid w:val="0014754B"/>
    <w:rsid w:val="0017288D"/>
    <w:rsid w:val="001749BA"/>
    <w:rsid w:val="00187CA2"/>
    <w:rsid w:val="001A2AB3"/>
    <w:rsid w:val="001C5F8C"/>
    <w:rsid w:val="001D75D4"/>
    <w:rsid w:val="001F244C"/>
    <w:rsid w:val="002211E5"/>
    <w:rsid w:val="002361A4"/>
    <w:rsid w:val="00247528"/>
    <w:rsid w:val="00252FA5"/>
    <w:rsid w:val="0027293A"/>
    <w:rsid w:val="002801C6"/>
    <w:rsid w:val="00293C32"/>
    <w:rsid w:val="002B507D"/>
    <w:rsid w:val="002D76B7"/>
    <w:rsid w:val="002E128B"/>
    <w:rsid w:val="00313BE7"/>
    <w:rsid w:val="00390BF5"/>
    <w:rsid w:val="00393A39"/>
    <w:rsid w:val="003A328E"/>
    <w:rsid w:val="003D06A5"/>
    <w:rsid w:val="00400863"/>
    <w:rsid w:val="0043030A"/>
    <w:rsid w:val="0043197B"/>
    <w:rsid w:val="00446FFA"/>
    <w:rsid w:val="00451658"/>
    <w:rsid w:val="004731F6"/>
    <w:rsid w:val="004D75EB"/>
    <w:rsid w:val="005059CB"/>
    <w:rsid w:val="00517725"/>
    <w:rsid w:val="00590B79"/>
    <w:rsid w:val="00600518"/>
    <w:rsid w:val="00606CE6"/>
    <w:rsid w:val="00634B61"/>
    <w:rsid w:val="00671902"/>
    <w:rsid w:val="00681F64"/>
    <w:rsid w:val="006831F7"/>
    <w:rsid w:val="006A33E5"/>
    <w:rsid w:val="006B107B"/>
    <w:rsid w:val="006D3935"/>
    <w:rsid w:val="00704BBA"/>
    <w:rsid w:val="00722E19"/>
    <w:rsid w:val="00746F9F"/>
    <w:rsid w:val="007746C7"/>
    <w:rsid w:val="00790355"/>
    <w:rsid w:val="007A7EEC"/>
    <w:rsid w:val="007C2C99"/>
    <w:rsid w:val="007E30A1"/>
    <w:rsid w:val="00836158"/>
    <w:rsid w:val="00846557"/>
    <w:rsid w:val="008555C6"/>
    <w:rsid w:val="00860B1F"/>
    <w:rsid w:val="008675E3"/>
    <w:rsid w:val="00867D1E"/>
    <w:rsid w:val="00881583"/>
    <w:rsid w:val="00887A84"/>
    <w:rsid w:val="008B0AEA"/>
    <w:rsid w:val="008B67EA"/>
    <w:rsid w:val="008C2DF3"/>
    <w:rsid w:val="008D4ECF"/>
    <w:rsid w:val="00972D30"/>
    <w:rsid w:val="00984AEB"/>
    <w:rsid w:val="0099702B"/>
    <w:rsid w:val="009B15F7"/>
    <w:rsid w:val="009D73D9"/>
    <w:rsid w:val="009F6E42"/>
    <w:rsid w:val="00A32120"/>
    <w:rsid w:val="00A709D9"/>
    <w:rsid w:val="00AE3AA8"/>
    <w:rsid w:val="00B1254C"/>
    <w:rsid w:val="00B66248"/>
    <w:rsid w:val="00B90B8F"/>
    <w:rsid w:val="00BA48CC"/>
    <w:rsid w:val="00BB6BD7"/>
    <w:rsid w:val="00BC5E95"/>
    <w:rsid w:val="00C55722"/>
    <w:rsid w:val="00C86424"/>
    <w:rsid w:val="00CA1D25"/>
    <w:rsid w:val="00D079C1"/>
    <w:rsid w:val="00D1783B"/>
    <w:rsid w:val="00D27D35"/>
    <w:rsid w:val="00D56C16"/>
    <w:rsid w:val="00D75010"/>
    <w:rsid w:val="00D8384F"/>
    <w:rsid w:val="00D851D5"/>
    <w:rsid w:val="00D871C5"/>
    <w:rsid w:val="00D938BF"/>
    <w:rsid w:val="00D94BE7"/>
    <w:rsid w:val="00DF78C1"/>
    <w:rsid w:val="00E16831"/>
    <w:rsid w:val="00E253D9"/>
    <w:rsid w:val="00E3279B"/>
    <w:rsid w:val="00E32FE4"/>
    <w:rsid w:val="00E35229"/>
    <w:rsid w:val="00E37056"/>
    <w:rsid w:val="00E54DD2"/>
    <w:rsid w:val="00E7081F"/>
    <w:rsid w:val="00EE3970"/>
    <w:rsid w:val="00F32BB6"/>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0C2E-4038-4160-984F-78282D0C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23</cp:revision>
  <cp:lastPrinted>2022-12-26T05:48:00Z</cp:lastPrinted>
  <dcterms:created xsi:type="dcterms:W3CDTF">2022-04-11T11:48:00Z</dcterms:created>
  <dcterms:modified xsi:type="dcterms:W3CDTF">2023-02-14T07:48:00Z</dcterms:modified>
</cp:coreProperties>
</file>