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ОБЗОР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правоприменительной практики контрольной деятельности 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социальной защиты населения администрации Озерского городского округа Челябинской области 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рамках муниципального контроля в сфере благоустройства за деятельностью по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6324" w:rsidRDefault="00E66324" w:rsidP="00E663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Правоприменительная практика организации и проведения муниципального контроля</w:t>
      </w:r>
    </w:p>
    <w:p w:rsidR="00E66324" w:rsidRDefault="00E66324" w:rsidP="00E66324">
      <w:pPr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E66324" w:rsidRDefault="00E66324" w:rsidP="00E66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Муниципальный контроль – это деятельность органов местного самоуправления, уполномоченных в соответствии с федеральными законами </w:t>
      </w: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br/>
        <w:t>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требований.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E66324" w:rsidRDefault="00E66324" w:rsidP="00E66324">
      <w:pPr>
        <w:pStyle w:val="a4"/>
        <w:tabs>
          <w:tab w:val="left" w:pos="708"/>
        </w:tabs>
        <w:ind w:right="-1"/>
        <w:jc w:val="both"/>
        <w:rPr>
          <w:spacing w:val="-6"/>
          <w:sz w:val="24"/>
          <w:szCs w:val="24"/>
          <w:lang w:eastAsia="en-US"/>
        </w:rPr>
      </w:pPr>
      <w:r>
        <w:rPr>
          <w:spacing w:val="-6"/>
          <w:sz w:val="24"/>
          <w:szCs w:val="24"/>
        </w:rPr>
        <w:tab/>
        <w:t xml:space="preserve">Правовой основой такой деятельности являются Федеральные законы </w:t>
      </w:r>
      <w:r>
        <w:rPr>
          <w:spacing w:val="-6"/>
          <w:sz w:val="24"/>
          <w:szCs w:val="24"/>
        </w:rPr>
        <w:br/>
      </w:r>
      <w:r>
        <w:rPr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от 31 июля 2020 № 248-ФЗ «О государственном контроле (надзоре) и муниципальном контроле в Российской Федерации», </w:t>
      </w:r>
      <w:r>
        <w:rPr>
          <w:rStyle w:val="a6"/>
          <w:sz w:val="24"/>
          <w:szCs w:val="24"/>
        </w:rPr>
        <w:t>Решение Собрания депутатов Озерского городского округа от 28 декабря 2021 № 207 «</w:t>
      </w:r>
      <w:r>
        <w:rPr>
          <w:sz w:val="24"/>
          <w:szCs w:val="24"/>
        </w:rPr>
        <w:t xml:space="preserve">О Положении о муниципальном контроле в сфере благоустройства на территории Озерского городского округа Челябинской области» и иные нормативно-правовые акты. </w:t>
      </w:r>
    </w:p>
    <w:p w:rsidR="00E66324" w:rsidRDefault="00E66324" w:rsidP="00E6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Существенные изменения в регулирование вопросов в сфере осуществления муниципального контроля были внесены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</w:p>
    <w:p w:rsidR="00E66324" w:rsidRDefault="00E66324" w:rsidP="00E6632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Муниципальный контроль осуществляется также в соответствии 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с постановлением Правительства Российской Федерации от 5 апреля 2010 года 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№  215 «Об утверждении Правил подготовки докладов об осуществлении государственного контроля (надзора), муниципального контроля 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в соответствующих сферах деятельности и об эффективности такого контроля (надзора)», постановлением Правительства Российской Федерации от 30 июня 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На Управление социальной защиты населения администрации Озерского городского округа Челябинской области возложен муниципальный контроль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за деятельностью по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Муниципальный контроль на территории Озерского городского округа осуществляется в соответствии с </w:t>
      </w:r>
      <w:r>
        <w:rPr>
          <w:rStyle w:val="a6"/>
          <w:sz w:val="24"/>
          <w:szCs w:val="24"/>
        </w:rPr>
        <w:t>Решением Собрания депутатов Озерского городского округа от 28 декабря 2021 № 207 «</w:t>
      </w:r>
      <w:r>
        <w:rPr>
          <w:rFonts w:ascii="Times New Roman" w:hAnsi="Times New Roman" w:cs="Times New Roman"/>
          <w:sz w:val="24"/>
          <w:szCs w:val="24"/>
        </w:rPr>
        <w:t xml:space="preserve">О Положении о муниципальном контроле в сфере благоустройства на территории Озерского городского округа Челябинской области»,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определяющим права, обязанности 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и ответственность должностных лиц, уполномоченных на проведение контрольных мероприятий, а также права, обязанности лиц, в отношении которых проводятся такие мероприятия. 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В рамках реализации полномочий по осуществлению муниципального контроля предусмотрены проверки в отношении субъектов предпринимательской деятельности по исполнению ими требований нормативных правовых актов, устанавливающих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доступности для инвалидов объектов социальной, инженерной и транспортной инфраструктур и предоставляемых услуг.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Правовыми актами, регулирующими правоотношения в указанной сфере, являются: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Федеральный закон от 24 ноября 1995 № 181-ФЗ «О социальной защите инвалидов в Российской Федерации»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иные нормативно-правовые акты. 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Исполнение функции контроля направлено на обеспечение соблюдения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Решения Собрания депутатов Озерского городского округа от 08 сентября 2020 № 127 «О правилах благоустройства Озерского городского округа Челябинской области»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Решение Собрания депутатов от 08 сентября 2020 № 127),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устанавливающего единые требования к состоянию благоустройства территории округа, защите окружающей среды, проведению работ, нарушающих существующее благоустройство территории.</w:t>
      </w:r>
    </w:p>
    <w:p w:rsidR="00E66324" w:rsidRDefault="00E66324" w:rsidP="00E6632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Мероприятия по контролю проводятся в соответствии с Кодексом Российской Федерации об административных правонарушениях.</w:t>
      </w:r>
    </w:p>
    <w:p w:rsidR="00E66324" w:rsidRDefault="00E66324" w:rsidP="00E6632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В муниципальных нормативно-правовых актах, регламентирующих порядок осуществления муниципального контроля, признаки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не выявлены. Обстоятельства, препятствующие возможности их исполнения и контроля, также отсутствуют. </w:t>
      </w:r>
    </w:p>
    <w:p w:rsidR="00E66324" w:rsidRDefault="00E66324" w:rsidP="00E6632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Муниципальные правовые акты в сфере муниципального контроля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опубликованы на официальном сайте органов местного самоуправления Озерского городского округа в сети Интернет. </w:t>
      </w:r>
    </w:p>
    <w:p w:rsidR="00E66324" w:rsidRDefault="00E66324" w:rsidP="00E66324">
      <w:pPr>
        <w:spacing w:after="0" w:line="240" w:lineRule="auto"/>
        <w:ind w:left="40" w:right="8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1. Составление и исполнение плана проверок</w:t>
      </w:r>
    </w:p>
    <w:p w:rsidR="00E66324" w:rsidRDefault="00E66324" w:rsidP="00E663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10 марта 2022 № 336 «Об особенностях организации и осуществления государственного контроля (надзора), муниципального контроля» (далее – Постановление от 10 марта 2022 № 336) в 2022 году плановые контрольные (надзорные) мероприятия, плановые проверки при осуществлении муниципального контроля не проводились. </w:t>
      </w:r>
    </w:p>
    <w:p w:rsidR="00E66324" w:rsidRDefault="00E66324" w:rsidP="00E663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 Основания для внеплановых проверок, их согласование с органами прокуратуры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оснований для проведения внеплановых проверок, указанных в пункте 3 Постановления от 10 марта 2022 № 336, не возникало.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 Работа с заявлениями и обращениями граждан </w:t>
      </w:r>
    </w:p>
    <w:p w:rsidR="00E66324" w:rsidRDefault="00E66324" w:rsidP="00E6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обращений граждан осуществляется в соответствии с Федеральным Законом от 02 мая 2006 № 59-ФЗ «О порядке рассмотрения обращений граждан Российской Федерации».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жалоб граждан о ненадлежащей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деятельности по обеспечению доступности для инвалидов объектов социальной, инженерной и транспортной инфраструктур и предоставляемых услуг не поступало.</w:t>
      </w:r>
    </w:p>
    <w:p w:rsidR="00E66324" w:rsidRDefault="00E66324" w:rsidP="00E66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E66324" w:rsidRDefault="00E66324" w:rsidP="00E663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Правоприменительная практика</w:t>
      </w:r>
    </w:p>
    <w:p w:rsidR="00E66324" w:rsidRDefault="00E66324" w:rsidP="00E663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соблюдения обязательных требований</w:t>
      </w:r>
    </w:p>
    <w:p w:rsidR="00E66324" w:rsidRDefault="00E66324" w:rsidP="00E663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6324" w:rsidRDefault="00E66324" w:rsidP="00E6632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Типичные нарушения, выявленные в ходе проверок</w:t>
      </w:r>
    </w:p>
    <w:p w:rsidR="00E66324" w:rsidRDefault="00E66324" w:rsidP="00E66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324" w:rsidRDefault="00E66324" w:rsidP="00E663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отменой проведения плановых проверок, отсутствием оснований для проведения внеплановых проверок, на основании Постановления от 10 марта 2022 № 336, 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2022 году нарушений обязательных требований законодательства при проведении контрольных мероприятий в рамках муниципального контроля выявлено не было.</w:t>
      </w:r>
    </w:p>
    <w:p w:rsidR="00E66324" w:rsidRDefault="00E66324" w:rsidP="00E6632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324" w:rsidRDefault="00E66324" w:rsidP="00E663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 по соблюдению обязательных требований, установленных для о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  <w:t>бустройства территории Озерского городского округа в целях беспрепятственного передвижения инвалидов и других маломобильных групп населения</w:t>
      </w:r>
    </w:p>
    <w:p w:rsidR="00E66324" w:rsidRDefault="00E66324" w:rsidP="00E66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Решением Собрания депутатов от 08 сентября 2020 № 127 предусмотрено соблюдение следующих требований: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 и быть направлены на повышение качества городской среды по критериям доступности, безопасности, комфортности и информативности;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При создании доступной для маломобильных групп населения среды жизнедеятельности на территории Озерского городского округа необходимо обеспечивать возможность беспрепятственного передвижения: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людей с нарушениями опорно-двигательного аппарата и маломобильных групп населения 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людей с нарушениями зрения и слуха с использованием информационных сигнальных устройств, и средств связи, доступных для людей с ограниченными (временно или постоянно) возможностями здоровья;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Основу доступной для маломобильных групп населения среды жизнедеятельности должен составлять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безбарьерный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каркас территории реконструируемой застройки, обеспечивающий создание людям с ограниченными (временно или постоянно) возможностями здоровья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Принципы формирования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безбарьерного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каркаса территории Озерского городского округа должны основываться на принципах универсального дизайна и обеспечивать: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равенство в использовании городской среды всеми категориями населения;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гибкость в использовании и возможность выбора всеми категориями населения способов передвижения;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восприятия информации и минимальность возникновения опасностей и ошибок восприятия информации;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объектов элементами и техническими средствами, способствующими передвижению маломобильных групп населения;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подъезды;</w:t>
      </w:r>
    </w:p>
    <w:p w:rsidR="00E66324" w:rsidRDefault="00E66324" w:rsidP="00E66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9. В зданиях объектов культурного наследия для обеспечения доступа маломобильных групп населения могут применяться инвентарные и рулонные пандусы. Ширина поверхности таких передвижных пандусов должна быть не менее </w:t>
      </w:r>
      <w:smartTag w:uri="urn:schemas-microsoft-com:office:smarttags" w:element="metricconverter">
        <w:smartTagPr>
          <w:attr w:name="ProductID" w:val="0,75 м"/>
        </w:smartTagPr>
        <w:r>
          <w:rPr>
            <w:rFonts w:ascii="Times New Roman" w:hAnsi="Times New Roman" w:cs="Times New Roman"/>
            <w:spacing w:val="2"/>
            <w:sz w:val="24"/>
            <w:szCs w:val="24"/>
            <w:lang w:eastAsia="ru-RU"/>
          </w:rPr>
          <w:t>0,75 м</w:t>
        </w:r>
      </w:smartTag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уклоны должны быть приближены к значениям стационарных пандусов;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Лестницы должны дублироваться пандусами или подъемными устройствами. При расчетном перепаде высоты в </w:t>
      </w:r>
      <w:smartTag w:uri="urn:schemas-microsoft-com:office:smarttags" w:element="metricconverter">
        <w:smartTagPr>
          <w:attr w:name="ProductID" w:val="3,0 м"/>
        </w:smartTagPr>
        <w:r>
          <w:rPr>
            <w:rFonts w:ascii="Times New Roman" w:eastAsia="Calibri" w:hAnsi="Times New Roman" w:cs="Times New Roman"/>
            <w:sz w:val="24"/>
            <w:szCs w:val="24"/>
          </w:rPr>
          <w:t>3,0 м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 и более на пути движения вместо пандуса следует применять подъемные устройства – подъемные платформы или лифты, доступные для людей с ограниченными (временно или постоянно) возможностями здоровья на кресле-коляске и других маломобильных групп населения;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Поверхность пандуса должна быть нескользкой, выделенной цветом или текстурой, контрастной относительно прилегающей поверхности.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качестве поверхности пандуса допускается использовать рифленую поверхность или металлические решетки;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Жилые микрорайоны Озерского городского округа и их улично-дорожную сеть следует проектировать с учетом прокладки пешеходных маршрутов для маломобильных групп населения с устройством доступных им подходов к площадкам и местам посадки в общественный транспорт;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 их сопровождающих, а также специально оборудованные места для маломобильных групп населения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требованиями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СП 59.13330.2016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«СНиП 35-01-2001 Доступность зданий и </w:t>
      </w:r>
      <w:r>
        <w:rPr>
          <w:rFonts w:ascii="Times New Roman" w:eastAsia="Calibri" w:hAnsi="Times New Roman" w:cs="Times New Roman"/>
          <w:sz w:val="24"/>
          <w:szCs w:val="24"/>
        </w:rPr>
        <w:t>сооружений для маломобильных групп населения»;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10 %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-мест (но не менее одного места) для людей с ограниченными (временно или постоянно) возможностями здоровья;</w:t>
      </w:r>
    </w:p>
    <w:p w:rsidR="00E66324" w:rsidRDefault="00E66324" w:rsidP="00E6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Места для стоянки (парковки) транспортных средств, управляемых людьми с ограниченными (временно или постоянно) возможностями здоровья или перевозящих людей с ограниченными (временно или постоянно) возможностями здоровья, следует размещать вблизи входа в предприятие, организацию или в учреждение, доступного для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людей с ограниченными возможностями здоровья, но не далее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eastAsia="Calibri" w:hAnsi="Times New Roman" w:cs="Times New Roman"/>
            <w:sz w:val="24"/>
            <w:szCs w:val="24"/>
          </w:rPr>
          <w:t>50 м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, от входа в жилое здание – не далее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eastAsia="Calibri" w:hAnsi="Times New Roman" w:cs="Times New Roman"/>
            <w:sz w:val="24"/>
            <w:szCs w:val="24"/>
          </w:rPr>
          <w:t>100 м</w:t>
        </w:r>
      </w:smartTag>
      <w:r>
        <w:rPr>
          <w:rFonts w:ascii="Times New Roman" w:eastAsia="Calibri" w:hAnsi="Times New Roman" w:cs="Times New Roman"/>
          <w:sz w:val="24"/>
          <w:szCs w:val="24"/>
        </w:rPr>
        <w:t>.;</w:t>
      </w:r>
    </w:p>
    <w:p w:rsidR="00E66324" w:rsidRDefault="00E66324" w:rsidP="00E663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Мероприятия по обеспечению доступности городской среды для маломобильных групп населения, определенные настоящим разделом Правил, осуществляются собственниками, владельцами соответствующих объектов городской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среды.</w:t>
      </w:r>
    </w:p>
    <w:p w:rsidR="00E66324" w:rsidRDefault="00E66324" w:rsidP="00E663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B2F" w:rsidRDefault="00E66324">
      <w:bookmarkStart w:id="0" w:name="_GoBack"/>
      <w:bookmarkEnd w:id="0"/>
    </w:p>
    <w:sectPr w:rsidR="0071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736E"/>
    <w:multiLevelType w:val="hybridMultilevel"/>
    <w:tmpl w:val="60F29CD8"/>
    <w:lvl w:ilvl="0" w:tplc="9FF85732">
      <w:start w:val="1"/>
      <w:numFmt w:val="upperRoman"/>
      <w:lvlText w:val="%1."/>
      <w:lvlJc w:val="left"/>
      <w:pPr>
        <w:ind w:left="3131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24"/>
    <w:rsid w:val="002F6E1E"/>
    <w:rsid w:val="00B57BB0"/>
    <w:rsid w:val="00E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1B631-6BD3-40C8-A8C9-8B356E80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32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663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6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unhideWhenUsed/>
    <w:rsid w:val="00E6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48421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skadm.ru/regulatory/base/search.php?arrFilter_ff%5BNAME%5D=08.09.2020&amp;set_filter=%D0%9F%D0%BE%D0%B8%D1%81%D0%BA+%D0%BF%D0%BE+%D0%BD%D0%B0%D0%B7%D0%B2%D0%B0%D0%BD%D0%B8%D1%8E&amp;set_filter=Y" TargetMode="External"/><Relationship Id="rId5" Type="http://schemas.openxmlformats.org/officeDocument/2006/relationships/hyperlink" Target="http://government.ru/docs/all/?type=_102000505&amp;number=181-%D1%84%D0%B7&amp;text=&amp;dt=1995.11.24-1995.11.24&amp;dt.till=1995.11.24&amp;dt.since=1995.11.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U_OO_RTA</dc:creator>
  <cp:keywords/>
  <dc:description/>
  <cp:lastModifiedBy>U_OO_RTA</cp:lastModifiedBy>
  <cp:revision>1</cp:revision>
  <dcterms:created xsi:type="dcterms:W3CDTF">2023-09-13T12:00:00Z</dcterms:created>
  <dcterms:modified xsi:type="dcterms:W3CDTF">2023-09-13T12:01:00Z</dcterms:modified>
</cp:coreProperties>
</file>