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3522" w:type="dxa"/>
        <w:jc w:val="left"/>
        <w:tblInd w:w="60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22"/>
      </w:tblGrid>
      <w:tr>
        <w:trPr/>
        <w:tc>
          <w:tcPr>
            <w:tcW w:w="3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>
        <w:trPr/>
        <w:tc>
          <w:tcPr>
            <w:tcW w:w="3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приказом начальника Управления капитального строительства и благоустройства администрации Озерского городского округа Челябинской области</w:t>
            </w:r>
          </w:p>
        </w:tc>
      </w:tr>
      <w:tr>
        <w:trPr>
          <w:trHeight w:val="335" w:hRule="atLeast"/>
        </w:trPr>
        <w:tc>
          <w:tcPr>
            <w:tcW w:w="3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u w:val="single"/>
                <w:lang w:eastAsia="ru-RU"/>
              </w:rPr>
              <w:t>05 ноября 2024 г.</w:t>
            </w:r>
            <w:r>
              <w:rPr>
                <w:rFonts w:eastAsia="Times New Roman" w:cs="Times New Roman" w:ascii="Times New Roman" w:hAnsi="Times New Roman"/>
                <w:color w:val="FFFFFF"/>
                <w:u w:val="single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№ </w:t>
            </w:r>
            <w:r>
              <w:rPr>
                <w:rFonts w:eastAsia="Times New Roman" w:cs="Times New Roman" w:ascii="Times New Roman" w:hAnsi="Times New Roman"/>
                <w:u w:val="single"/>
                <w:lang w:eastAsia="ru-RU"/>
              </w:rPr>
              <w:t xml:space="preserve"> 45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FFFFFF"/>
                <w:lang w:eastAsia="ru-RU"/>
              </w:rPr>
              <w:t>.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ПРОГРАММА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Озерского городского округа Челябинской области на 2025 г.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20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статьей 44</w:t>
      </w:r>
      <w:r>
        <w:rPr>
          <w:rFonts w:eastAsia="Calibri" w:cs="Times New Roman" w:ascii="Times New Roman" w:hAnsi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постановлением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Правительства Российской Федерации от 25 июня 2021 г.  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Озерского городского округа Челябинской области от 28.12.2021 «О Положении о муниципальном контроле в сфере благоустройства на территории Озерского городского округа Челябинской области» (далее - Положение)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Озерского городского округа Челябинской области.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ПАСПОРТ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368"/>
        <w:gridCol w:w="6237"/>
      </w:tblGrid>
      <w:tr>
        <w:trPr>
          <w:trHeight w:val="247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в сфере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благоустройства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на территории Озерского городского округа Челябинской области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– Программа профилактики).</w:t>
            </w:r>
          </w:p>
        </w:tc>
      </w:tr>
      <w:tr>
        <w:trPr>
          <w:trHeight w:val="42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закон);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 (в ред. от 19.06.2023).</w:t>
            </w:r>
          </w:p>
        </w:tc>
      </w:tr>
      <w:tr>
        <w:trPr>
          <w:trHeight w:val="10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16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SimSun" w:cs="Arial" w:ascii="Liberation Serif" w:hAnsi="Liberation Serif"/>
                <w:kern w:val="2"/>
                <w:sz w:val="28"/>
                <w:szCs w:val="28"/>
                <w:lang w:eastAsia="zh-CN" w:bidi="hi-IN"/>
              </w:rPr>
              <w:t>Управление капитального строительства и благоустройства администрации Озерского городского округа с учетом информации предоставленной для включения в программу профилактики иными органами муниципального контроля, определенными пунктом 4  Положения.</w:t>
            </w:r>
          </w:p>
        </w:tc>
      </w:tr>
      <w:tr>
        <w:trPr>
          <w:trHeight w:val="523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2025год</w:t>
            </w:r>
          </w:p>
        </w:tc>
      </w:tr>
      <w:tr>
        <w:trPr>
          <w:trHeight w:val="247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>
        <w:trPr>
          <w:trHeight w:val="27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/>
        <w:t xml:space="preserve">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 Анализ и оценка состояния подконтрольной сферы.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1. Вид муниципального контроля: муниципальный контроль в сфере благоустройства.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2. Контролирующий орган:  Управление имущественных отношений администрации Озерского городского округа Челябинской области</w:t>
      </w:r>
      <w:r>
        <w:rPr/>
        <w:t xml:space="preserve"> </w:t>
      </w:r>
      <w:r>
        <w:rPr>
          <w:rFonts w:eastAsia="Calibri" w:cs="Times New Roman" w:ascii="Times New Roman" w:hAnsi="Times New Roman"/>
          <w:iCs/>
          <w:sz w:val="28"/>
          <w:szCs w:val="28"/>
        </w:rPr>
        <w:t>в отношении объектов, указанных в подпунктах 1, 2, 7 пункта 4 настоящей Программа профилактики;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Управление жилищно-коммунального хозяйства администрации Озерского городского округа Челябинской области</w:t>
      </w:r>
      <w:r>
        <w:rPr/>
        <w:t xml:space="preserve"> </w:t>
      </w:r>
      <w:r>
        <w:rPr>
          <w:rFonts w:eastAsia="Calibri" w:cs="Times New Roman" w:ascii="Times New Roman" w:hAnsi="Times New Roman"/>
          <w:iCs/>
          <w:sz w:val="28"/>
          <w:szCs w:val="28"/>
        </w:rPr>
        <w:t>в отношении объекта, указанного в подпункте 3 пункта 4 настоящей Программа профилактики;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Управление капитального строительства и благоустройства администрации Озерского городского округа Челябинской области</w:t>
      </w:r>
      <w:r>
        <w:rPr/>
        <w:t xml:space="preserve"> </w:t>
      </w:r>
      <w:r>
        <w:rPr>
          <w:rFonts w:eastAsia="Calibri" w:cs="Times New Roman" w:ascii="Times New Roman" w:hAnsi="Times New Roman"/>
          <w:iCs/>
          <w:sz w:val="28"/>
          <w:szCs w:val="28"/>
        </w:rPr>
        <w:t>в отношении объектов, указанных в подпунктах 4, 6 пункта 4 настоящей Программа профилактики;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Управление архитектуры и градостроительства администрации Озерского городского округа Челябинской области</w:t>
      </w:r>
      <w:r>
        <w:rPr/>
        <w:t xml:space="preserve"> </w:t>
      </w:r>
      <w:r>
        <w:rPr>
          <w:rFonts w:eastAsia="Calibri" w:cs="Times New Roman" w:ascii="Times New Roman" w:hAnsi="Times New Roman"/>
          <w:iCs/>
          <w:sz w:val="28"/>
          <w:szCs w:val="28"/>
        </w:rPr>
        <w:t>в отношении объекта, указанного в подпункте 5 пункта 4 настоящей Программа профилактики;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Управление социальной защиты населения администрации Озерского городского округа Челябинской области</w:t>
      </w:r>
      <w:r>
        <w:rPr/>
        <w:t xml:space="preserve"> </w:t>
      </w:r>
      <w:r>
        <w:rPr>
          <w:rFonts w:eastAsia="Calibri" w:cs="Times New Roman" w:ascii="Times New Roman" w:hAnsi="Times New Roman"/>
          <w:iCs/>
          <w:sz w:val="28"/>
          <w:szCs w:val="28"/>
        </w:rPr>
        <w:t>в отношении объекта, указанного в подпункте 8 пункта 4 настоящей Программа профилактики.</w:t>
        <w:tab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3. Предметом муниципального контроля  является соблюдение юридическими лицами, индивидуальными предпринимателями и гражданами: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ab/>
        <w:t>1) обязательных требований, установленных Правилами благоустройства территории Озерского городского округа Челябинской области, утвержденных решением Собрания депутатов Озерского городского округа Челябинской области от 08.09.2020 № 127 (далее – Правила благоустройства), федеральными законами и принимаемыми в соответствии с ними иными нормативными правовыми актами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ab/>
        <w:t>2)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ab/>
        <w:t>3)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4. Объектами муниципального контроля в сфере благоустройства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1) деятельность юридических и физических лиц, индивидуальных предпринимателей, в пользовании которых находятся земельные участки, по уборке и содержанию земельных участков, находящихся в собственности, постоянном (бессрочном) и безвозмездном пользовании и аренде, а также прилегающих к ним территорий;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2) деятельность юридических и физических лиц, индивидуальных предпринимателей, по уборке и содержанию земель или земельных участков, в отношении которых указанным лицам выдано разрешение на использование земель или земельных участков;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3) деятельность собственников помещений многоквартирных домов непосредственно, товариществ собственников жилья, жилищных кооперативов, иных специализированных потребительских кооперативов, управляющих организаций, в зависимости от способа управления многоквартирным домом, по уборке и содержанию дворовых территорий;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4) деятельность по уборке и содержанию мест производства земляных работ, строительных, работ по ремонту инженерных сетей и коммуникаций, в том числе по восстановлению элементов благоустройства после проведения земляных работ;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5) деятельность по содержанию зданий, сооружений;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6) деятельность по уборке и содержанию объектов озеленения;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7) деятельность по уборке территорий садовых некоммерческих товариществ, потребительских гаражных и гаражно-строительных кооперативов, а также прилегающих территорий;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8) деятельность по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5. </w:t>
      </w:r>
      <w:r>
        <w:rPr>
          <w:rFonts w:eastAsia="Calibri" w:cs="Times New Roman" w:ascii="Times New Roman" w:hAnsi="Times New Roman"/>
          <w:iCs/>
          <w:sz w:val="28"/>
          <w:szCs w:val="28"/>
        </w:rPr>
        <w:t xml:space="preserve">Субъектами муниципального контроля являются </w:t>
      </w:r>
      <w:r>
        <w:rPr>
          <w:rFonts w:eastAsia="Calibri" w:cs="Times New Roman" w:ascii="Times New Roman" w:hAnsi="Times New Roman"/>
          <w:sz w:val="28"/>
          <w:szCs w:val="28"/>
        </w:rPr>
        <w:t xml:space="preserve">юридические лица, индивидуальные предприниматели и физические лица, осуществляющие деятельность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в области благоустройства.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6. </w:t>
      </w:r>
      <w:r>
        <w:rPr>
          <w:rFonts w:eastAsia="Calibri" w:cs="Times New Roman" w:ascii="Times New Roman" w:hAnsi="Times New Roman"/>
          <w:iCs/>
          <w:sz w:val="28"/>
          <w:szCs w:val="28"/>
        </w:rPr>
        <w:t>Данные о проведенных мероприятиях по контролю и профилактике нарушений обязательных требований, их результатах в 2024 году.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обязательных требований, а также профилактических мероприятий, направленных на предупреждение их нарушений.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2024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(в ред. от 18.07.2024г.), не проводились.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 Озерского  городского округа Челябинской области плановые контрольные мероприятия в соответствии с пунктом 16 Положения не проводятся.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Нарушений Правил благоустройства, предусматривающих уголовную ответственность на территории Озерского городского округа Челябинской области в 2024 году не выявлено.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2024 г. проведено 32 контрольных (надзорных) мероприятий без взаимодействия с контролируемым лицом - выездные обследования.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результатам проведенных мероприятий 29 предписаний об устранении нарушений обязательных требований установленных муниципальными правовыми актами в сфере благоустройства.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отношении шести правообладателей земельных участков составлены протоколы об административных правонарушениях по части 1 статьи 19.5 КоАП РФ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Контролирующим органом 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Озерского городского округа Челябинской области.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Контролирующим органом 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Профилактические мероприятия в 2024 году были направлены на: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Озерского городского округа Челябинской области нормативно правовых документов и другой информации по вопросам осуществления муниципального контроля;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 мониторинг и актуализацию перечня нормативных правовых актов, соблюдение которых оценивается в ходе проверок;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7. Анализ и оценка рисков нарушения обязательных требований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Озерского городского округа Челябинской области являются: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- ненадлежащее содержание и состояние придомовых территорий, несвоевременная и (или) некачественная уборка;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- ненадлежащее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- неудовлетворительное состояние асфальтобетонного покрытия тротуаров и внутриквартальных проездов, включая проезды на придомовых территориях многоквартирных жилых домов;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- ненадлежащее состояние или содержание нежилых зданий, строений, сооружений и объектов малых архитектурных форм;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- длительные сроки восстановления благоустройства территории округа после проведения земляных работ, связанных со строительством, реконструкцией или ремонтом инженерных сетей;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самовывозу на площадки по их утилизации.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 w:before="0" w:after="200"/>
        <w:ind w:firstLine="709"/>
        <w:jc w:val="center"/>
        <w:outlineLvl w:val="1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. Цели и задачи реализации программы профилактики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 w:before="0" w:after="0"/>
        <w:ind w:left="960"/>
        <w:contextualSpacing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4) повышение уровня благоустройства, соблюдения чистоты и порядка;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 w:before="0" w:after="0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eastAsia="Calibri" w:cs="Times New Roman" w:ascii="Times New Roman" w:hAnsi="Times New Roman"/>
          <w:bCs/>
          <w:sz w:val="28"/>
          <w:szCs w:val="28"/>
        </w:rPr>
        <w:t>5) повышение результативности и эффективности контрольной деятельности по муниципальному контролю в сфере благоустройства на 2025 год.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426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bCs/>
          <w:sz w:val="28"/>
          <w:szCs w:val="28"/>
        </w:rPr>
        <w:t>2.     Проведение профилактических мероприятий направлено на решение следующих задач: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1)      снижение рисков причинения вреда (ущерба) охраняемым законом ценностям;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2)  внедрение способов профилактики, установленных Положением о муниципальном контроле в сфере благоустройства;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3)  повышение прозрачности деятельности контрольного органа;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4)  повышение уровня правовой грамотности контролируемых лиц;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       </w:t>
      </w:r>
      <w:r>
        <w:rPr>
          <w:rFonts w:eastAsia="Calibri" w:cs="Times New Roman" w:ascii="Times New Roman" w:hAnsi="Times New Roman"/>
          <w:bCs/>
          <w:sz w:val="28"/>
          <w:szCs w:val="28"/>
        </w:rPr>
        <w:t>5) обеспечение доступности информации об обязательных требованиях и необходимых мерах по их исполнению.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. Перечень профилактических мероприятий, сроки (периодичность) их проведения.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При осуществлении муниципального контроля могут проводиться следующие виды профилактических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1) информирование;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2) консультирование;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3) объявление предостережения;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4) профилактический визит.</w:t>
      </w:r>
      <w:r>
        <w:rPr/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tbl>
      <w:tblPr>
        <w:tblStyle w:val="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0"/>
        <w:gridCol w:w="2198"/>
        <w:gridCol w:w="2675"/>
        <w:gridCol w:w="2090"/>
        <w:gridCol w:w="1978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Форма мероприятия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Сроки (периодичность) проведения мероприятия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на официальном сайте муниципального образования в разделе «муниципальный контроль»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 администрации Озерского городского округа уполномоченные на осуществление муниципального контроля в сфере благоустройства (далее - должностные лица)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Размещение на официальном сайте муниципального образования в разделе «муниципальный контроль»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отчетов об осуществлении муниципального контроля (о проведенных проверках, обобщение практики осуществления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I квартал года, следующий за отчетным периодом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209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позднее 20 декабря 2025 года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Консультирование</w:t>
            </w:r>
          </w:p>
        </w:tc>
        <w:tc>
          <w:tcPr>
            <w:tcW w:w="26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090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года, по мере необходимости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Объявление предостережения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142" w:leader="none"/>
              </w:tabs>
              <w:spacing w:lineRule="auto" w:line="240" w:before="0" w:after="0"/>
              <w:ind w:right="-1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 течение года при наличии оснований, предусмотренных статьей 49 Федерального закона от 31.07.2020 № 248-ФЗ.</w:t>
            </w:r>
          </w:p>
          <w:p>
            <w:pPr>
              <w:pStyle w:val="Normal"/>
              <w:widowControl/>
              <w:tabs>
                <w:tab w:val="clear" w:pos="708"/>
                <w:tab w:val="left" w:pos="-142" w:leader="none"/>
              </w:tabs>
              <w:spacing w:lineRule="auto" w:line="240" w:before="0" w:after="0"/>
              <w:ind w:right="-1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Профилактический визит</w:t>
            </w:r>
          </w:p>
        </w:tc>
        <w:tc>
          <w:tcPr>
            <w:tcW w:w="26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года, по мере необходимости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Должностные лица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 w:before="0" w:after="200"/>
        <w:outlineLvl w:val="1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 w:before="0" w:after="200"/>
        <w:ind w:firstLine="709"/>
        <w:jc w:val="center"/>
        <w:outlineLvl w:val="1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>
      <w:pPr>
        <w:pStyle w:val="Normal"/>
        <w:spacing w:lineRule="auto" w:line="240" w:before="0" w:after="0"/>
        <w:ind w:left="44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Реализация программы профилактики способствует:</w:t>
      </w:r>
    </w:p>
    <w:p>
      <w:pPr>
        <w:pStyle w:val="Normal"/>
        <w:spacing w:lineRule="auto" w:line="240" w:before="0" w:after="0"/>
        <w:ind w:firstLine="436" w:left="1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повышению уровня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проведения;</w:t>
      </w:r>
    </w:p>
    <w:p>
      <w:pPr>
        <w:pStyle w:val="Normal"/>
        <w:spacing w:lineRule="auto" w:line="240" w:before="0" w:after="0"/>
        <w:ind w:firstLine="436" w:left="1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снижению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количества правонарушений при осуществлении контролируемыми лицами своей деятельности;</w:t>
      </w:r>
    </w:p>
    <w:p>
      <w:pPr>
        <w:pStyle w:val="Normal"/>
        <w:spacing w:lineRule="auto" w:line="240" w:before="0" w:after="0"/>
        <w:ind w:firstLine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повышению качества предоставляемых услуг в сфере благоустройства;</w:t>
      </w:r>
    </w:p>
    <w:p>
      <w:pPr>
        <w:pStyle w:val="Normal"/>
        <w:spacing w:lineRule="auto" w:line="240" w:before="0" w:after="0"/>
        <w:ind w:firstLine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развитию системы профилактических мероприятий, проводимых органом муниципального контроля.</w:t>
      </w:r>
    </w:p>
    <w:p>
      <w:pPr>
        <w:pStyle w:val="Normal"/>
        <w:spacing w:lineRule="auto" w:line="240" w:before="0" w:after="0"/>
        <w:ind w:firstLine="43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29"/>
        <w:gridCol w:w="6236"/>
        <w:gridCol w:w="2553"/>
      </w:tblGrid>
      <w:tr>
        <w:trPr>
          <w:trHeight w:val="527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Удовлетворённость предпринимательского сообщества, жителей города   контрольной деятельностью в подконтрольной сфере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100% от запланированных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Для оценки эффективности и результативности программы профилактики используются следующие оценки показателей: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892"/>
        <w:gridCol w:w="2057"/>
        <w:gridCol w:w="2550"/>
        <w:gridCol w:w="1963"/>
      </w:tblGrid>
      <w:tr>
        <w:trPr>
          <w:trHeight w:val="420" w:hRule="atLeast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Значение показателя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нет отклонения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отклонение больше 20%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отклонение больше 50 %</w:t>
            </w:r>
          </w:p>
        </w:tc>
      </w:tr>
      <w:tr>
        <w:trPr>
          <w:trHeight w:val="420" w:hRule="atLeast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4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высокая эффективность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удовлетворительная эффективность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низкая эффективность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d0ba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rsid w:val="00ee2df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ee2df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26f0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d0b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d73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4d73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1D5B-6B6B-4889-ACA0-EA5F9324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LibreOffice/24.2.3.2$Linux_X86_64 LibreOffice_project/420$Build-2</Application>
  <AppVersion>15.0000</AppVersion>
  <Pages>7</Pages>
  <Words>572</Words>
  <Characters>4453</Characters>
  <CharactersWithSpaces>5000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2022-01-13T09:56:00Z</dcterms:created>
  <dc:creator>U</dc:creator>
  <dc:description/>
  <dc:language>ru-RU</dc:language>
  <cp:lastModifiedBy>U</cp:lastModifiedBy>
  <cp:lastPrinted>2024-10-03T07:20:00Z</cp:lastPrinted>
  <dcterms:modified xsi:type="dcterms:W3CDTF">2024-12-04T08:20:00Z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